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4451" w:rsidRPr="00D54451" w:rsidRDefault="00D54451" w:rsidP="00D54451">
      <w:pPr>
        <w:widowControl/>
        <w:jc w:val="center"/>
        <w:rPr>
          <w:rFonts w:ascii="新細明體" w:eastAsia="新細明體" w:hAnsi="新細明體" w:cs="新細明體"/>
          <w:color w:val="16365C"/>
          <w:kern w:val="0"/>
          <w:sz w:val="28"/>
          <w:szCs w:val="24"/>
        </w:rPr>
      </w:pPr>
      <w:r w:rsidRPr="00D54451">
        <w:rPr>
          <w:rFonts w:ascii="新細明體" w:eastAsia="新細明體" w:hAnsi="新細明體" w:cs="新細明體" w:hint="eastAsia"/>
          <w:color w:val="16365C"/>
          <w:kern w:val="0"/>
          <w:sz w:val="28"/>
          <w:szCs w:val="24"/>
        </w:rPr>
        <w:t>以遺傳演</w:t>
      </w:r>
      <w:bookmarkStart w:id="0" w:name="_GoBack"/>
      <w:bookmarkEnd w:id="0"/>
      <w:r w:rsidRPr="00D54451">
        <w:rPr>
          <w:rFonts w:ascii="新細明體" w:eastAsia="新細明體" w:hAnsi="新細明體" w:cs="新細明體" w:hint="eastAsia"/>
          <w:color w:val="16365C"/>
          <w:kern w:val="0"/>
          <w:sz w:val="28"/>
          <w:szCs w:val="24"/>
        </w:rPr>
        <w:t>算法探討考量河川自然流量變化之</w:t>
      </w:r>
      <w:proofErr w:type="gramStart"/>
      <w:r w:rsidRPr="00D54451">
        <w:rPr>
          <w:rFonts w:ascii="新細明體" w:eastAsia="新細明體" w:hAnsi="新細明體" w:cs="新細明體" w:hint="eastAsia"/>
          <w:color w:val="16365C"/>
          <w:kern w:val="0"/>
          <w:sz w:val="28"/>
          <w:szCs w:val="24"/>
        </w:rPr>
        <w:t>最佳攔</w:t>
      </w:r>
      <w:proofErr w:type="gramEnd"/>
      <w:r w:rsidRPr="00D54451">
        <w:rPr>
          <w:rFonts w:ascii="新細明體" w:eastAsia="新細明體" w:hAnsi="新細明體" w:cs="新細明體" w:hint="eastAsia"/>
          <w:color w:val="16365C"/>
          <w:kern w:val="0"/>
          <w:sz w:val="28"/>
          <w:szCs w:val="24"/>
        </w:rPr>
        <w:t>河堰生態流量</w:t>
      </w:r>
    </w:p>
    <w:p w:rsidR="003F0C83" w:rsidRPr="00D54451" w:rsidRDefault="00D54451" w:rsidP="00D54451">
      <w:pPr>
        <w:jc w:val="center"/>
        <w:rPr>
          <w:rFonts w:hint="eastAsia"/>
          <w:sz w:val="28"/>
        </w:rPr>
      </w:pPr>
      <w:r w:rsidRPr="00D54451">
        <w:rPr>
          <w:rFonts w:hint="eastAsia"/>
          <w:sz w:val="28"/>
        </w:rPr>
        <w:t>蕭政宗</w:t>
      </w:r>
      <w:r w:rsidRPr="00D54451">
        <w:rPr>
          <w:rFonts w:hint="eastAsia"/>
          <w:sz w:val="28"/>
        </w:rPr>
        <w:t xml:space="preserve">; </w:t>
      </w:r>
      <w:proofErr w:type="spellStart"/>
      <w:r w:rsidRPr="00D54451">
        <w:rPr>
          <w:rFonts w:hint="eastAsia"/>
          <w:sz w:val="28"/>
        </w:rPr>
        <w:t>Shiau</w:t>
      </w:r>
      <w:proofErr w:type="spellEnd"/>
      <w:r w:rsidRPr="00D54451">
        <w:rPr>
          <w:rFonts w:hint="eastAsia"/>
          <w:sz w:val="28"/>
        </w:rPr>
        <w:t xml:space="preserve">, </w:t>
      </w:r>
      <w:proofErr w:type="spellStart"/>
      <w:r w:rsidRPr="00D54451">
        <w:rPr>
          <w:rFonts w:hint="eastAsia"/>
          <w:sz w:val="28"/>
        </w:rPr>
        <w:t>Jenq-tzong</w:t>
      </w:r>
      <w:proofErr w:type="spellEnd"/>
      <w:r w:rsidRPr="00D54451">
        <w:rPr>
          <w:rFonts w:hint="eastAsia"/>
          <w:sz w:val="28"/>
        </w:rPr>
        <w:t xml:space="preserve">; </w:t>
      </w:r>
      <w:r w:rsidRPr="00D54451">
        <w:rPr>
          <w:rFonts w:hint="eastAsia"/>
          <w:sz w:val="28"/>
        </w:rPr>
        <w:t>吳富春</w:t>
      </w:r>
    </w:p>
    <w:p w:rsidR="00D54451" w:rsidRDefault="00D54451">
      <w:pPr>
        <w:rPr>
          <w:rFonts w:hint="eastAsia"/>
        </w:rPr>
      </w:pPr>
    </w:p>
    <w:p w:rsidR="00D54451" w:rsidRPr="00D54451" w:rsidRDefault="00D54451" w:rsidP="00D54451">
      <w:pPr>
        <w:widowControl/>
        <w:rPr>
          <w:rFonts w:ascii="新細明體" w:eastAsia="新細明體" w:hAnsi="新細明體" w:cs="新細明體"/>
          <w:color w:val="000000"/>
          <w:kern w:val="0"/>
          <w:szCs w:val="24"/>
        </w:rPr>
      </w:pPr>
      <w:r w:rsidRPr="00D54451">
        <w:rPr>
          <w:rFonts w:ascii="新細明體" w:eastAsia="新細明體" w:hAnsi="新細明體" w:cs="新細明體" w:hint="eastAsia"/>
          <w:color w:val="000000"/>
          <w:kern w:val="0"/>
          <w:szCs w:val="24"/>
        </w:rPr>
        <w:t>本文研究目的在於探討攔河堰引水對河川自然流量變化的影響及河川生態流量對供水穩定度與河川保護目標間之影響。本文以變異範圍法(Range of Variability Approach，RVA)中的32個水文改變指標(Indicator of Hydrologic Alteration，IHA)來評估河川流量</w:t>
      </w:r>
      <w:proofErr w:type="gramStart"/>
      <w:r w:rsidRPr="00D54451">
        <w:rPr>
          <w:rFonts w:ascii="新細明體" w:eastAsia="新細明體" w:hAnsi="新細明體" w:cs="新細明體" w:hint="eastAsia"/>
          <w:color w:val="000000"/>
          <w:kern w:val="0"/>
          <w:szCs w:val="24"/>
        </w:rPr>
        <w:t>特性受攔河</w:t>
      </w:r>
      <w:proofErr w:type="gramEnd"/>
      <w:r w:rsidRPr="00D54451">
        <w:rPr>
          <w:rFonts w:ascii="新細明體" w:eastAsia="新細明體" w:hAnsi="新細明體" w:cs="新細明體" w:hint="eastAsia"/>
          <w:color w:val="000000"/>
          <w:kern w:val="0"/>
          <w:szCs w:val="24"/>
        </w:rPr>
        <w:t>堰引水之影響。由於攔河堰引水及維持河川自然流量變化是相互衝突的目標，本文分別以缺水率及整體水文改變度代表攔河堰引水的效率及維持河川自然流量變化的目標，而以多標的優選模式中的非優勢排列遺傳演算法(non-dominated sorting genetic algorithm II，NSGA-II)求解最佳解。本文將所建議方法應用於位於台灣中部濁水溪中游的集集攔河堰，首先以</w:t>
      </w:r>
      <w:proofErr w:type="gramStart"/>
      <w:r w:rsidRPr="00D54451">
        <w:rPr>
          <w:rFonts w:ascii="新細明體" w:eastAsia="新細明體" w:hAnsi="新細明體" w:cs="新細明體" w:hint="eastAsia"/>
          <w:color w:val="000000"/>
          <w:kern w:val="0"/>
          <w:szCs w:val="24"/>
        </w:rPr>
        <w:t>建堰前</w:t>
      </w:r>
      <w:proofErr w:type="gramEnd"/>
      <w:r w:rsidRPr="00D54451">
        <w:rPr>
          <w:rFonts w:ascii="新細明體" w:eastAsia="新細明體" w:hAnsi="新細明體" w:cs="新細明體" w:hint="eastAsia"/>
          <w:color w:val="000000"/>
          <w:kern w:val="0"/>
          <w:szCs w:val="24"/>
        </w:rPr>
        <w:t>未受影響之天然流量建立評估標準，而後以攔河堰模擬模式演算引水後之河川剩餘流量，並據以評估其缺水率及水文改變度，而本文所考慮河川生態流量保留方式有定值、半年變化、季變化及月變化四種，演算結果顯示本文所建議的方法可以有效量化評估攔河堰供水的風險及對河川自然流量變化的影響幅度。</w:t>
      </w:r>
    </w:p>
    <w:p w:rsidR="00D54451" w:rsidRPr="00D54451" w:rsidRDefault="00D54451"/>
    <w:sectPr w:rsidR="00D54451" w:rsidRPr="00D54451">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60C"/>
    <w:rsid w:val="003F0C83"/>
    <w:rsid w:val="00AA260C"/>
    <w:rsid w:val="00D5445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217771">
      <w:bodyDiv w:val="1"/>
      <w:marLeft w:val="0"/>
      <w:marRight w:val="0"/>
      <w:marTop w:val="0"/>
      <w:marBottom w:val="0"/>
      <w:divBdr>
        <w:top w:val="none" w:sz="0" w:space="0" w:color="auto"/>
        <w:left w:val="none" w:sz="0" w:space="0" w:color="auto"/>
        <w:bottom w:val="none" w:sz="0" w:space="0" w:color="auto"/>
        <w:right w:val="none" w:sz="0" w:space="0" w:color="auto"/>
      </w:divBdr>
    </w:div>
    <w:div w:id="1379040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81</Words>
  <Characters>462</Characters>
  <Application>Microsoft Office Word</Application>
  <DocSecurity>0</DocSecurity>
  <Lines>3</Lines>
  <Paragraphs>1</Paragraphs>
  <ScaleCrop>false</ScaleCrop>
  <Company/>
  <LinksUpToDate>false</LinksUpToDate>
  <CharactersWithSpaces>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dss</dc:creator>
  <cp:keywords/>
  <dc:description/>
  <cp:lastModifiedBy>dss</cp:lastModifiedBy>
  <cp:revision>2</cp:revision>
  <dcterms:created xsi:type="dcterms:W3CDTF">2014-06-11T02:07:00Z</dcterms:created>
  <dcterms:modified xsi:type="dcterms:W3CDTF">2014-06-11T02:08:00Z</dcterms:modified>
</cp:coreProperties>
</file>