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91D" w:rsidRDefault="00EF191D" w:rsidP="00EF191D">
      <w:pPr>
        <w:widowControl/>
        <w:rPr>
          <w:rFonts w:ascii="新細明體" w:eastAsia="新細明體" w:hAnsi="新細明體" w:cs="新細明體" w:hint="eastAsia"/>
          <w:color w:val="002060"/>
          <w:kern w:val="0"/>
          <w:szCs w:val="24"/>
        </w:rPr>
      </w:pPr>
      <w:r w:rsidRPr="00EF191D">
        <w:rPr>
          <w:rFonts w:ascii="新細明體" w:eastAsia="新細明體" w:hAnsi="新細明體" w:cs="新細明體" w:hint="eastAsia"/>
          <w:color w:val="002060"/>
          <w:kern w:val="0"/>
          <w:szCs w:val="24"/>
        </w:rPr>
        <w:t>生物可分解塑膠PHBV／PCL</w:t>
      </w:r>
      <w:proofErr w:type="gramStart"/>
      <w:r w:rsidRPr="00EF191D">
        <w:rPr>
          <w:rFonts w:ascii="新細明體" w:eastAsia="新細明體" w:hAnsi="新細明體" w:cs="新細明體" w:hint="eastAsia"/>
          <w:color w:val="002060"/>
          <w:kern w:val="0"/>
          <w:szCs w:val="24"/>
        </w:rPr>
        <w:t>聚摻合</w:t>
      </w:r>
      <w:proofErr w:type="gramEnd"/>
      <w:r w:rsidRPr="00EF191D">
        <w:rPr>
          <w:rFonts w:ascii="新細明體" w:eastAsia="新細明體" w:hAnsi="新細明體" w:cs="新細明體" w:hint="eastAsia"/>
          <w:color w:val="002060"/>
          <w:kern w:val="0"/>
          <w:szCs w:val="24"/>
        </w:rPr>
        <w:t>物之形態結構以及加工性質研究(III)</w:t>
      </w:r>
    </w:p>
    <w:p w:rsidR="00EF191D" w:rsidRDefault="00EF191D" w:rsidP="00EF191D">
      <w:pPr>
        <w:widowControl/>
        <w:rPr>
          <w:rFonts w:ascii="新細明體" w:eastAsia="新細明體" w:hAnsi="新細明體" w:cs="新細明體" w:hint="eastAsia"/>
          <w:color w:val="002060"/>
          <w:kern w:val="0"/>
          <w:szCs w:val="24"/>
        </w:rPr>
      </w:pPr>
    </w:p>
    <w:p w:rsidR="00EF191D" w:rsidRPr="00EF191D" w:rsidRDefault="00EF191D" w:rsidP="00EF191D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  <w:bookmarkStart w:id="0" w:name="_GoBack"/>
      <w:bookmarkEnd w:id="0"/>
      <w:r w:rsidRPr="00EF191D">
        <w:rPr>
          <w:rFonts w:ascii="新細明體" w:eastAsia="新細明體" w:hAnsi="新細明體" w:cs="新細明體" w:hint="eastAsia"/>
          <w:color w:val="000000"/>
          <w:kern w:val="0"/>
          <w:szCs w:val="24"/>
        </w:rPr>
        <w:t>本計畫主要研究生物可分解塑膠PHA</w:t>
      </w:r>
      <w:proofErr w:type="gramStart"/>
      <w:r w:rsidRPr="00EF191D">
        <w:rPr>
          <w:rFonts w:ascii="新細明體" w:eastAsia="新細明體" w:hAnsi="新細明體" w:cs="新細明體" w:hint="eastAsia"/>
          <w:color w:val="000000"/>
          <w:kern w:val="0"/>
          <w:szCs w:val="24"/>
        </w:rPr>
        <w:t>之改質及</w:t>
      </w:r>
      <w:proofErr w:type="gramEnd"/>
      <w:r w:rsidRPr="00EF191D">
        <w:rPr>
          <w:rFonts w:ascii="新細明體" w:eastAsia="新細明體" w:hAnsi="新細明體" w:cs="新細明體" w:hint="eastAsia"/>
          <w:color w:val="000000"/>
          <w:kern w:val="0"/>
          <w:szCs w:val="24"/>
        </w:rPr>
        <w:t>其加工性質研究，以熔融</w:t>
      </w:r>
      <w:proofErr w:type="gramStart"/>
      <w:r w:rsidRPr="00EF191D">
        <w:rPr>
          <w:rFonts w:ascii="新細明體" w:eastAsia="新細明體" w:hAnsi="新細明體" w:cs="新細明體" w:hint="eastAsia"/>
          <w:color w:val="000000"/>
          <w:kern w:val="0"/>
          <w:szCs w:val="24"/>
        </w:rPr>
        <w:t>混煉法</w:t>
      </w:r>
      <w:proofErr w:type="gramEnd"/>
      <w:r w:rsidRPr="00EF191D">
        <w:rPr>
          <w:rFonts w:ascii="新細明體" w:eastAsia="新細明體" w:hAnsi="新細明體" w:cs="新細明體" w:hint="eastAsia"/>
          <w:color w:val="000000"/>
          <w:kern w:val="0"/>
          <w:szCs w:val="24"/>
        </w:rPr>
        <w:t>與共溶劑法製備PHBV/PCL、PHB/PCL、PHBV/PEO</w:t>
      </w:r>
      <w:proofErr w:type="gramStart"/>
      <w:r w:rsidRPr="00EF191D">
        <w:rPr>
          <w:rFonts w:ascii="新細明體" w:eastAsia="新細明體" w:hAnsi="新細明體" w:cs="新細明體" w:hint="eastAsia"/>
          <w:color w:val="000000"/>
          <w:kern w:val="0"/>
          <w:szCs w:val="24"/>
        </w:rPr>
        <w:t>之聚摻合</w:t>
      </w:r>
      <w:proofErr w:type="gramEnd"/>
      <w:r w:rsidRPr="00EF191D">
        <w:rPr>
          <w:rFonts w:ascii="新細明體" w:eastAsia="新細明體" w:hAnsi="新細明體" w:cs="新細明體" w:hint="eastAsia"/>
          <w:color w:val="000000"/>
          <w:kern w:val="0"/>
          <w:szCs w:val="24"/>
        </w:rPr>
        <w:t>物。以SEM觀察</w:t>
      </w:r>
      <w:proofErr w:type="gramStart"/>
      <w:r w:rsidRPr="00EF191D">
        <w:rPr>
          <w:rFonts w:ascii="新細明體" w:eastAsia="新細明體" w:hAnsi="新細明體" w:cs="新細明體" w:hint="eastAsia"/>
          <w:color w:val="000000"/>
          <w:kern w:val="0"/>
          <w:szCs w:val="24"/>
        </w:rPr>
        <w:t>聚摻合物相</w:t>
      </w:r>
      <w:proofErr w:type="gramEnd"/>
      <w:r w:rsidRPr="00EF191D">
        <w:rPr>
          <w:rFonts w:ascii="新細明體" w:eastAsia="新細明體" w:hAnsi="新細明體" w:cs="新細明體" w:hint="eastAsia"/>
          <w:color w:val="000000"/>
          <w:kern w:val="0"/>
          <w:szCs w:val="24"/>
        </w:rPr>
        <w:t>形態。本研究並以GPC量測材料經過不同加工程序後之分子量的影響、以TGA測定</w:t>
      </w:r>
      <w:proofErr w:type="gramStart"/>
      <w:r w:rsidRPr="00EF191D">
        <w:rPr>
          <w:rFonts w:ascii="新細明體" w:eastAsia="新細明體" w:hAnsi="新細明體" w:cs="新細明體" w:hint="eastAsia"/>
          <w:color w:val="000000"/>
          <w:kern w:val="0"/>
          <w:szCs w:val="24"/>
        </w:rPr>
        <w:t>複</w:t>
      </w:r>
      <w:proofErr w:type="gramEnd"/>
      <w:r w:rsidRPr="00EF191D">
        <w:rPr>
          <w:rFonts w:ascii="新細明體" w:eastAsia="新細明體" w:hAnsi="新細明體" w:cs="新細明體" w:hint="eastAsia"/>
          <w:color w:val="000000"/>
          <w:kern w:val="0"/>
          <w:szCs w:val="24"/>
        </w:rPr>
        <w:t>材之熱裂解溫度(Td)、DMA測定</w:t>
      </w:r>
      <w:proofErr w:type="gramStart"/>
      <w:r w:rsidRPr="00EF191D">
        <w:rPr>
          <w:rFonts w:ascii="新細明體" w:eastAsia="新細明體" w:hAnsi="新細明體" w:cs="新細明體" w:hint="eastAsia"/>
          <w:color w:val="000000"/>
          <w:kern w:val="0"/>
          <w:szCs w:val="24"/>
        </w:rPr>
        <w:t>複</w:t>
      </w:r>
      <w:proofErr w:type="gramEnd"/>
      <w:r w:rsidRPr="00EF191D">
        <w:rPr>
          <w:rFonts w:ascii="新細明體" w:eastAsia="新細明體" w:hAnsi="新細明體" w:cs="新細明體" w:hint="eastAsia"/>
          <w:color w:val="000000"/>
          <w:kern w:val="0"/>
          <w:szCs w:val="24"/>
        </w:rPr>
        <w:t>材之玻璃轉移溫度(</w:t>
      </w:r>
      <w:proofErr w:type="spellStart"/>
      <w:r w:rsidRPr="00EF191D">
        <w:rPr>
          <w:rFonts w:ascii="新細明體" w:eastAsia="新細明體" w:hAnsi="新細明體" w:cs="新細明體" w:hint="eastAsia"/>
          <w:color w:val="000000"/>
          <w:kern w:val="0"/>
          <w:szCs w:val="24"/>
        </w:rPr>
        <w:t>Tg</w:t>
      </w:r>
      <w:proofErr w:type="spellEnd"/>
      <w:r w:rsidRPr="00EF191D">
        <w:rPr>
          <w:rFonts w:ascii="新細明體" w:eastAsia="新細明體" w:hAnsi="新細明體" w:cs="新細明體" w:hint="eastAsia"/>
          <w:color w:val="000000"/>
          <w:kern w:val="0"/>
          <w:szCs w:val="24"/>
        </w:rPr>
        <w:t>)及固態機械性質、DSC</w:t>
      </w:r>
      <w:proofErr w:type="gramStart"/>
      <w:r w:rsidRPr="00EF191D">
        <w:rPr>
          <w:rFonts w:ascii="新細明體" w:eastAsia="新細明體" w:hAnsi="新細明體" w:cs="新細明體" w:hint="eastAsia"/>
          <w:color w:val="000000"/>
          <w:kern w:val="0"/>
          <w:szCs w:val="24"/>
        </w:rPr>
        <w:t>觀察聚摻合</w:t>
      </w:r>
      <w:proofErr w:type="gramEnd"/>
      <w:r w:rsidRPr="00EF191D">
        <w:rPr>
          <w:rFonts w:ascii="新細明體" w:eastAsia="新細明體" w:hAnsi="新細明體" w:cs="新細明體" w:hint="eastAsia"/>
          <w:color w:val="000000"/>
          <w:kern w:val="0"/>
          <w:szCs w:val="24"/>
        </w:rPr>
        <w:t>物的玻璃轉移溫度與結晶度的變化。結果發現PHBV/PCL與PHB/PCL</w:t>
      </w:r>
      <w:proofErr w:type="gramStart"/>
      <w:r w:rsidRPr="00EF191D">
        <w:rPr>
          <w:rFonts w:ascii="新細明體" w:eastAsia="新細明體" w:hAnsi="新細明體" w:cs="新細明體" w:hint="eastAsia"/>
          <w:color w:val="000000"/>
          <w:kern w:val="0"/>
          <w:szCs w:val="24"/>
        </w:rPr>
        <w:t>聚摻合</w:t>
      </w:r>
      <w:proofErr w:type="gramEnd"/>
      <w:r w:rsidRPr="00EF191D">
        <w:rPr>
          <w:rFonts w:ascii="新細明體" w:eastAsia="新細明體" w:hAnsi="新細明體" w:cs="新細明體" w:hint="eastAsia"/>
          <w:color w:val="000000"/>
          <w:kern w:val="0"/>
          <w:szCs w:val="24"/>
        </w:rPr>
        <w:t>物為</w:t>
      </w:r>
      <w:proofErr w:type="gramStart"/>
      <w:r w:rsidRPr="00EF191D">
        <w:rPr>
          <w:rFonts w:ascii="新細明體" w:eastAsia="新細明體" w:hAnsi="新細明體" w:cs="新細明體" w:hint="eastAsia"/>
          <w:color w:val="000000"/>
          <w:kern w:val="0"/>
          <w:szCs w:val="24"/>
        </w:rPr>
        <w:t>不</w:t>
      </w:r>
      <w:proofErr w:type="gramEnd"/>
      <w:r w:rsidRPr="00EF191D">
        <w:rPr>
          <w:rFonts w:ascii="新細明體" w:eastAsia="新細明體" w:hAnsi="新細明體" w:cs="新細明體" w:hint="eastAsia"/>
          <w:color w:val="000000"/>
          <w:kern w:val="0"/>
          <w:szCs w:val="24"/>
        </w:rPr>
        <w:t>相容性系統，而PHBV/PEO為部分相容性系統；並以拉力試驗機量</w:t>
      </w:r>
      <w:proofErr w:type="gramStart"/>
      <w:r w:rsidRPr="00EF191D">
        <w:rPr>
          <w:rFonts w:ascii="新細明體" w:eastAsia="新細明體" w:hAnsi="新細明體" w:cs="新細明體" w:hint="eastAsia"/>
          <w:color w:val="000000"/>
          <w:kern w:val="0"/>
          <w:szCs w:val="24"/>
        </w:rPr>
        <w:t>測其抗張</w:t>
      </w:r>
      <w:proofErr w:type="gramEnd"/>
      <w:r w:rsidRPr="00EF191D">
        <w:rPr>
          <w:rFonts w:ascii="新細明體" w:eastAsia="新細明體" w:hAnsi="新細明體" w:cs="新細明體" w:hint="eastAsia"/>
          <w:color w:val="000000"/>
          <w:kern w:val="0"/>
          <w:szCs w:val="24"/>
        </w:rPr>
        <w:t>強度與斷裂</w:t>
      </w:r>
      <w:proofErr w:type="gramStart"/>
      <w:r w:rsidRPr="00EF191D">
        <w:rPr>
          <w:rFonts w:ascii="新細明體" w:eastAsia="新細明體" w:hAnsi="新細明體" w:cs="新細明體" w:hint="eastAsia"/>
          <w:color w:val="000000"/>
          <w:kern w:val="0"/>
          <w:szCs w:val="24"/>
        </w:rPr>
        <w:t>拉伸率</w:t>
      </w:r>
      <w:proofErr w:type="gramEnd"/>
      <w:r w:rsidRPr="00EF191D">
        <w:rPr>
          <w:rFonts w:ascii="新細明體" w:eastAsia="新細明體" w:hAnsi="新細明體" w:cs="新細明體" w:hint="eastAsia"/>
          <w:color w:val="000000"/>
          <w:kern w:val="0"/>
          <w:szCs w:val="24"/>
        </w:rPr>
        <w:t>。最後以平板</w:t>
      </w:r>
      <w:proofErr w:type="gramStart"/>
      <w:r w:rsidRPr="00EF191D">
        <w:rPr>
          <w:rFonts w:ascii="新細明體" w:eastAsia="新細明體" w:hAnsi="新細明體" w:cs="新細明體" w:hint="eastAsia"/>
          <w:color w:val="000000"/>
          <w:kern w:val="0"/>
          <w:szCs w:val="24"/>
        </w:rPr>
        <w:t>式流變儀來量測其</w:t>
      </w:r>
      <w:proofErr w:type="gramEnd"/>
      <w:r w:rsidRPr="00EF191D">
        <w:rPr>
          <w:rFonts w:ascii="新細明體" w:eastAsia="新細明體" w:hAnsi="新細明體" w:cs="新細明體" w:hint="eastAsia"/>
          <w:color w:val="000000"/>
          <w:kern w:val="0"/>
          <w:szCs w:val="24"/>
        </w:rPr>
        <w:t>熔融動態與</w:t>
      </w:r>
      <w:proofErr w:type="gramStart"/>
      <w:r w:rsidRPr="00EF191D">
        <w:rPr>
          <w:rFonts w:ascii="新細明體" w:eastAsia="新細明體" w:hAnsi="新細明體" w:cs="新細明體" w:hint="eastAsia"/>
          <w:color w:val="000000"/>
          <w:kern w:val="0"/>
          <w:szCs w:val="24"/>
        </w:rPr>
        <w:t>穩態流</w:t>
      </w:r>
      <w:proofErr w:type="gramEnd"/>
      <w:r w:rsidRPr="00EF191D">
        <w:rPr>
          <w:rFonts w:ascii="新細明體" w:eastAsia="新細明體" w:hAnsi="新細明體" w:cs="新細明體" w:hint="eastAsia"/>
          <w:color w:val="000000"/>
          <w:kern w:val="0"/>
          <w:szCs w:val="24"/>
        </w:rPr>
        <w:t>變性質，綜合以上各種測試的結果，探討其相互關係。</w:t>
      </w:r>
    </w:p>
    <w:p w:rsidR="00205AEC" w:rsidRPr="00EF191D" w:rsidRDefault="00205AEC" w:rsidP="00EF191D">
      <w:pPr>
        <w:widowControl/>
      </w:pPr>
    </w:p>
    <w:sectPr w:rsidR="00205AEC" w:rsidRPr="00EF191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B8C" w:rsidRDefault="00033B8C" w:rsidP="00033B8C">
      <w:r>
        <w:separator/>
      </w:r>
    </w:p>
  </w:endnote>
  <w:endnote w:type="continuationSeparator" w:id="0">
    <w:p w:rsidR="00033B8C" w:rsidRDefault="00033B8C" w:rsidP="00033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B8C" w:rsidRDefault="00033B8C" w:rsidP="00033B8C">
      <w:r>
        <w:separator/>
      </w:r>
    </w:p>
  </w:footnote>
  <w:footnote w:type="continuationSeparator" w:id="0">
    <w:p w:rsidR="00033B8C" w:rsidRDefault="00033B8C" w:rsidP="00033B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AEC"/>
    <w:rsid w:val="00030F8C"/>
    <w:rsid w:val="00033B8C"/>
    <w:rsid w:val="00041D71"/>
    <w:rsid w:val="0004427E"/>
    <w:rsid w:val="00073219"/>
    <w:rsid w:val="00077FB4"/>
    <w:rsid w:val="000915C7"/>
    <w:rsid w:val="000F19D2"/>
    <w:rsid w:val="000F4EF3"/>
    <w:rsid w:val="0010521F"/>
    <w:rsid w:val="00110FF7"/>
    <w:rsid w:val="00137F8C"/>
    <w:rsid w:val="001522B3"/>
    <w:rsid w:val="0017452A"/>
    <w:rsid w:val="001B7492"/>
    <w:rsid w:val="001F3A88"/>
    <w:rsid w:val="00205AEC"/>
    <w:rsid w:val="00214A4E"/>
    <w:rsid w:val="00237CFC"/>
    <w:rsid w:val="0024418F"/>
    <w:rsid w:val="00294846"/>
    <w:rsid w:val="002E0717"/>
    <w:rsid w:val="00345F67"/>
    <w:rsid w:val="0036633C"/>
    <w:rsid w:val="003912B6"/>
    <w:rsid w:val="003C6DB9"/>
    <w:rsid w:val="003D583B"/>
    <w:rsid w:val="003E12A8"/>
    <w:rsid w:val="004009D5"/>
    <w:rsid w:val="00411E54"/>
    <w:rsid w:val="00424EB8"/>
    <w:rsid w:val="00476361"/>
    <w:rsid w:val="004B3B7B"/>
    <w:rsid w:val="004D2D5E"/>
    <w:rsid w:val="004E3DB0"/>
    <w:rsid w:val="00503EDC"/>
    <w:rsid w:val="005439BB"/>
    <w:rsid w:val="005C4D29"/>
    <w:rsid w:val="005F4BF5"/>
    <w:rsid w:val="006525EB"/>
    <w:rsid w:val="006678D2"/>
    <w:rsid w:val="006B6940"/>
    <w:rsid w:val="006C3829"/>
    <w:rsid w:val="006E50A1"/>
    <w:rsid w:val="006F711A"/>
    <w:rsid w:val="006F78BF"/>
    <w:rsid w:val="00700B65"/>
    <w:rsid w:val="00701F88"/>
    <w:rsid w:val="00710117"/>
    <w:rsid w:val="00765A2A"/>
    <w:rsid w:val="007768F0"/>
    <w:rsid w:val="007772D5"/>
    <w:rsid w:val="00786D05"/>
    <w:rsid w:val="007A6029"/>
    <w:rsid w:val="007E103F"/>
    <w:rsid w:val="007F2A4A"/>
    <w:rsid w:val="007F36C2"/>
    <w:rsid w:val="0080725A"/>
    <w:rsid w:val="008A3F2E"/>
    <w:rsid w:val="008A73BB"/>
    <w:rsid w:val="008C3A00"/>
    <w:rsid w:val="008C728D"/>
    <w:rsid w:val="008E3063"/>
    <w:rsid w:val="0090618E"/>
    <w:rsid w:val="00920A8E"/>
    <w:rsid w:val="0093534C"/>
    <w:rsid w:val="00943186"/>
    <w:rsid w:val="00967A73"/>
    <w:rsid w:val="009A029B"/>
    <w:rsid w:val="009B3922"/>
    <w:rsid w:val="00A0299A"/>
    <w:rsid w:val="00A12F13"/>
    <w:rsid w:val="00A33F7E"/>
    <w:rsid w:val="00A869CE"/>
    <w:rsid w:val="00B643BE"/>
    <w:rsid w:val="00B771BA"/>
    <w:rsid w:val="00B84453"/>
    <w:rsid w:val="00BA4D0A"/>
    <w:rsid w:val="00BC3C9A"/>
    <w:rsid w:val="00BC4AB8"/>
    <w:rsid w:val="00C01E7B"/>
    <w:rsid w:val="00C12150"/>
    <w:rsid w:val="00C15A02"/>
    <w:rsid w:val="00C24098"/>
    <w:rsid w:val="00C27CD9"/>
    <w:rsid w:val="00C350A5"/>
    <w:rsid w:val="00C441A1"/>
    <w:rsid w:val="00C65904"/>
    <w:rsid w:val="00C81757"/>
    <w:rsid w:val="00CA6CBC"/>
    <w:rsid w:val="00CD179D"/>
    <w:rsid w:val="00CF52B2"/>
    <w:rsid w:val="00D54132"/>
    <w:rsid w:val="00D723E1"/>
    <w:rsid w:val="00D74492"/>
    <w:rsid w:val="00D97152"/>
    <w:rsid w:val="00DF0F18"/>
    <w:rsid w:val="00E25510"/>
    <w:rsid w:val="00E44E5D"/>
    <w:rsid w:val="00ED2ACD"/>
    <w:rsid w:val="00EE0EBC"/>
    <w:rsid w:val="00EF191D"/>
    <w:rsid w:val="00EF40A3"/>
    <w:rsid w:val="00EF4711"/>
    <w:rsid w:val="00F75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B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33B8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33B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33B8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B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33B8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33B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33B8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dss</dc:creator>
  <cp:lastModifiedBy>dss</cp:lastModifiedBy>
  <cp:revision>2</cp:revision>
  <dcterms:created xsi:type="dcterms:W3CDTF">2014-06-04T06:14:00Z</dcterms:created>
  <dcterms:modified xsi:type="dcterms:W3CDTF">2014-06-04T06:14:00Z</dcterms:modified>
</cp:coreProperties>
</file>