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2E" w:rsidRPr="00E2362E" w:rsidRDefault="00E2362E" w:rsidP="00E2362E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bookmarkStart w:id="0" w:name="_GoBack"/>
      <w:r w:rsidRPr="00E2362E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Fenton氧化對活性碳吸附染整廢水中有機物之影響</w:t>
      </w:r>
    </w:p>
    <w:p w:rsidR="005F6681" w:rsidRPr="00E2362E" w:rsidRDefault="00E2362E" w:rsidP="00E2362E">
      <w:pPr>
        <w:jc w:val="center"/>
        <w:rPr>
          <w:rFonts w:hint="eastAsia"/>
          <w:sz w:val="28"/>
        </w:rPr>
      </w:pPr>
      <w:r w:rsidRPr="00E2362E">
        <w:rPr>
          <w:rFonts w:hint="eastAsia"/>
          <w:sz w:val="28"/>
        </w:rPr>
        <w:t>李文村</w:t>
      </w:r>
      <w:r w:rsidRPr="00E2362E">
        <w:rPr>
          <w:rFonts w:hint="eastAsia"/>
          <w:sz w:val="28"/>
        </w:rPr>
        <w:t xml:space="preserve">; </w:t>
      </w:r>
      <w:r w:rsidRPr="00E2362E">
        <w:rPr>
          <w:rFonts w:hint="eastAsia"/>
          <w:sz w:val="28"/>
        </w:rPr>
        <w:t>康世芳</w:t>
      </w:r>
      <w:r w:rsidRPr="00E2362E">
        <w:rPr>
          <w:rFonts w:hint="eastAsia"/>
          <w:sz w:val="28"/>
        </w:rPr>
        <w:t xml:space="preserve">; </w:t>
      </w:r>
      <w:r w:rsidRPr="00E2362E">
        <w:rPr>
          <w:rFonts w:hint="eastAsia"/>
          <w:sz w:val="28"/>
        </w:rPr>
        <w:t>章日行</w:t>
      </w:r>
    </w:p>
    <w:bookmarkEnd w:id="0"/>
    <w:p w:rsidR="00E2362E" w:rsidRDefault="00E2362E">
      <w:pPr>
        <w:rPr>
          <w:rFonts w:hint="eastAsia"/>
        </w:rPr>
      </w:pPr>
    </w:p>
    <w:p w:rsidR="00E2362E" w:rsidRPr="00E2362E" w:rsidRDefault="00E2362E" w:rsidP="00E2362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本研究利用反應性染料R94H(藍色)及聚乙烯醇(PVA)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漿料配製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染整業人工廢水，以Fenton程序與三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價鐵混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凝(氯化鐵)作為前處理，比較其有機物分子量分布及對活性碳吸附去除有機物之影響。研究結果顯示三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價鐵混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凝去除溶解性有機物(DOC)以高分子量為主，Fenton程序兼具氧化與混凝作用，可提高1K Dalton以下低分子量DOC所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佔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比例。</w:t>
      </w:r>
      <w:proofErr w:type="spell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Freundlich</w:t>
      </w:r>
      <w:proofErr w:type="spell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等溫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吸附式可表示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本實驗之吸附結果，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經鐵鹽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與Fenton程序處理後，</w:t>
      </w:r>
      <w:proofErr w:type="spell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Freundlich</w:t>
      </w:r>
      <w:proofErr w:type="spell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公式之n值(代表吸附強度)皆提高， Fenton程序中n值亦隨H/sub 2/O/sub 2/加藥量增加而增加，Fenton程序之n值大於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鐵鹽混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凝之n值。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依孔隙內部擴散模式求得之擴散速率係數k/sub </w:t>
      </w:r>
      <w:proofErr w:type="spell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i</w:t>
      </w:r>
      <w:proofErr w:type="spell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/值，亦顯示Fenton程序之k/sub </w:t>
      </w:r>
      <w:proofErr w:type="spell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i</w:t>
      </w:r>
      <w:proofErr w:type="spell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/值皆大於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鐵鹽混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凝之k/sub </w:t>
      </w:r>
      <w:proofErr w:type="spell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i</w:t>
      </w:r>
      <w:proofErr w:type="spell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/值，且k/sub </w:t>
      </w:r>
      <w:proofErr w:type="spell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i</w:t>
      </w:r>
      <w:proofErr w:type="spell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/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值隨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H/sub 2/O/sub 2/加藥量增加而增加。綜合比較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鐵鹽混凝與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Fenton程序之低分子量DOC所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佔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比例、n值及k/sub </w:t>
      </w:r>
      <w:proofErr w:type="spell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i</w:t>
      </w:r>
      <w:proofErr w:type="spell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/值，顯示Fenton程序</w:t>
      </w:r>
      <w:proofErr w:type="gramStart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較鐵鹽混</w:t>
      </w:r>
      <w:proofErr w:type="gramEnd"/>
      <w:r w:rsidRPr="00E236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凝適合作為活性碳吸附前處理。</w:t>
      </w:r>
    </w:p>
    <w:p w:rsidR="00E2362E" w:rsidRPr="00E2362E" w:rsidRDefault="00E2362E"/>
    <w:sectPr w:rsidR="00E2362E" w:rsidRPr="00E236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73"/>
    <w:rsid w:val="005F6681"/>
    <w:rsid w:val="006F5773"/>
    <w:rsid w:val="00E2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2014-06-11T03:10:00Z</dcterms:created>
  <dcterms:modified xsi:type="dcterms:W3CDTF">2014-06-11T03:10:00Z</dcterms:modified>
</cp:coreProperties>
</file>