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35" w:rsidRPr="00524735" w:rsidRDefault="00524735" w:rsidP="00524735">
      <w:pPr>
        <w:widowControl/>
        <w:rPr>
          <w:rFonts w:ascii="新細明體" w:eastAsia="新細明體" w:hAnsi="新細明體" w:cs="新細明體"/>
          <w:color w:val="16365C"/>
          <w:kern w:val="0"/>
          <w:szCs w:val="24"/>
        </w:rPr>
      </w:pPr>
      <w:r w:rsidRPr="00524735">
        <w:rPr>
          <w:rFonts w:ascii="新細明體" w:eastAsia="新細明體" w:hAnsi="新細明體" w:cs="新細明體" w:hint="eastAsia"/>
          <w:color w:val="16365C"/>
          <w:kern w:val="0"/>
          <w:szCs w:val="24"/>
        </w:rPr>
        <w:t>從財務報表觀點分析台灣成長型與價值型上市公司之財務特性</w:t>
      </w:r>
    </w:p>
    <w:p w:rsidR="00FE2D6F" w:rsidRPr="00524735" w:rsidRDefault="00FE2D6F" w:rsidP="00FE2D6F">
      <w:pPr>
        <w:widowControl/>
        <w:rPr>
          <w:rFonts w:ascii="新細明體" w:eastAsia="新細明體" w:hAnsi="新細明體" w:cs="新細明體"/>
          <w:color w:val="000000"/>
          <w:kern w:val="0"/>
          <w:szCs w:val="24"/>
        </w:rPr>
      </w:pPr>
      <w:bookmarkStart w:id="0" w:name="_GoBack"/>
      <w:bookmarkEnd w:id="0"/>
    </w:p>
    <w:p w:rsidR="00524735" w:rsidRPr="00524735" w:rsidRDefault="00524735" w:rsidP="00524735">
      <w:pPr>
        <w:widowControl/>
        <w:rPr>
          <w:rFonts w:ascii="新細明體" w:eastAsia="新細明體" w:hAnsi="新細明體" w:cs="新細明體"/>
          <w:color w:val="000000"/>
          <w:kern w:val="0"/>
          <w:szCs w:val="24"/>
        </w:rPr>
      </w:pPr>
      <w:r w:rsidRPr="00524735">
        <w:rPr>
          <w:rFonts w:ascii="新細明體" w:eastAsia="新細明體" w:hAnsi="新細明體" w:cs="新細明體" w:hint="eastAsia"/>
          <w:color w:val="000000"/>
          <w:kern w:val="0"/>
          <w:szCs w:val="24"/>
        </w:rPr>
        <w:t>本研究以我國電子業、金融保險業、食品業、紡織業與營建業等5個產業之上市公司為研究樣本，根據民國86年、87年及88年之財務報表資訊，逐一分析不同產業下價值型與成長型企業之財務特性差異與其穩定性。根據多重效益觀念，同時</w:t>
      </w:r>
      <w:proofErr w:type="gramStart"/>
      <w:r w:rsidRPr="00524735">
        <w:rPr>
          <w:rFonts w:ascii="新細明體" w:eastAsia="新細明體" w:hAnsi="新細明體" w:cs="新細明體" w:hint="eastAsia"/>
          <w:color w:val="000000"/>
          <w:kern w:val="0"/>
          <w:szCs w:val="24"/>
        </w:rPr>
        <w:t>採</w:t>
      </w:r>
      <w:proofErr w:type="gramEnd"/>
      <w:r w:rsidRPr="00524735">
        <w:rPr>
          <w:rFonts w:ascii="新細明體" w:eastAsia="新細明體" w:hAnsi="新細明體" w:cs="新細明體" w:hint="eastAsia"/>
          <w:color w:val="000000"/>
          <w:kern w:val="0"/>
          <w:szCs w:val="24"/>
        </w:rPr>
        <w:t>行市價/盈餘比、市價/淨值比及市價/銷貨比三個指標作為成長型與價值型企業之劃分標準。研究結果指出，雖然整體而言以價值型企業之分類穩定性高於成長型企業，但不同產業別有不同之發現，以金融保險業之分類穩定性最高，而電子業與營建業之穩定性最低。在成長型與價值型企業財務特性差異之比較方面，不同產業亦有不同之發現。電子類成長型與價值型企業主要之財務特性差異呈現於損益表之獲利能力，成長型電子業之整體獲利能力顯著高於價值型電子業；紡織業成長型與價值型企業主要之財務特性差異係呈現於損益表之獲利成長性：價值型紡織企業之獲利成長性反而優於成長型紡織企業。食品業方面之差異則主要表現於資產負債表之財務結構方面，成長型食品企業之長期財務結構顯著優於價值型食品業，獲利能力與成長性之差異並不穩定。金融保險業成長型與價值型最大之財務特性差異，則在於成長型企業擁有較優之每股（而非公司整體）獲利能力（如每股盈餘、每股營業利益、每股淨值）。此結果印證在後續作類似研究時，的確有必要控制產業別</w:t>
      </w:r>
      <w:proofErr w:type="gramStart"/>
      <w:r w:rsidRPr="00524735">
        <w:rPr>
          <w:rFonts w:ascii="新細明體" w:eastAsia="新細明體" w:hAnsi="新細明體" w:cs="新細明體" w:hint="eastAsia"/>
          <w:color w:val="000000"/>
          <w:kern w:val="0"/>
          <w:szCs w:val="24"/>
        </w:rPr>
        <w:t>之</w:t>
      </w:r>
      <w:proofErr w:type="gramEnd"/>
      <w:r w:rsidRPr="00524735">
        <w:rPr>
          <w:rFonts w:ascii="新細明體" w:eastAsia="新細明體" w:hAnsi="新細明體" w:cs="新細明體" w:hint="eastAsia"/>
          <w:color w:val="000000"/>
          <w:kern w:val="0"/>
          <w:szCs w:val="24"/>
        </w:rPr>
        <w:t>變數效果。</w:t>
      </w:r>
    </w:p>
    <w:p w:rsidR="00823645" w:rsidRPr="00524735" w:rsidRDefault="00823645" w:rsidP="00524735">
      <w:pPr>
        <w:widowControl/>
      </w:pPr>
    </w:p>
    <w:sectPr w:rsidR="00823645" w:rsidRPr="005247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2194E"/>
    <w:rsid w:val="0003314E"/>
    <w:rsid w:val="00110A23"/>
    <w:rsid w:val="001C43A5"/>
    <w:rsid w:val="00225EFB"/>
    <w:rsid w:val="002A6594"/>
    <w:rsid w:val="00436F59"/>
    <w:rsid w:val="004D35B9"/>
    <w:rsid w:val="00520B2F"/>
    <w:rsid w:val="00524735"/>
    <w:rsid w:val="0054442F"/>
    <w:rsid w:val="006128A0"/>
    <w:rsid w:val="0065070B"/>
    <w:rsid w:val="006544C8"/>
    <w:rsid w:val="00685637"/>
    <w:rsid w:val="007066C0"/>
    <w:rsid w:val="007634FA"/>
    <w:rsid w:val="00767A54"/>
    <w:rsid w:val="00777F6E"/>
    <w:rsid w:val="00786BE1"/>
    <w:rsid w:val="00823645"/>
    <w:rsid w:val="00863EE4"/>
    <w:rsid w:val="008C1C6F"/>
    <w:rsid w:val="008F5116"/>
    <w:rsid w:val="009315C2"/>
    <w:rsid w:val="00934168"/>
    <w:rsid w:val="00985DBE"/>
    <w:rsid w:val="009A7A4E"/>
    <w:rsid w:val="00AB7B71"/>
    <w:rsid w:val="00AC10D6"/>
    <w:rsid w:val="00AE65CC"/>
    <w:rsid w:val="00B054E2"/>
    <w:rsid w:val="00B1530B"/>
    <w:rsid w:val="00B17405"/>
    <w:rsid w:val="00B8630D"/>
    <w:rsid w:val="00C10565"/>
    <w:rsid w:val="00C944D7"/>
    <w:rsid w:val="00CA645D"/>
    <w:rsid w:val="00D325B9"/>
    <w:rsid w:val="00D33587"/>
    <w:rsid w:val="00D3579C"/>
    <w:rsid w:val="00D47F13"/>
    <w:rsid w:val="00EB7AD0"/>
    <w:rsid w:val="00EF78AF"/>
    <w:rsid w:val="00F25257"/>
    <w:rsid w:val="00F608B1"/>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2014-05-26T05:48:00Z</dcterms:created>
  <dcterms:modified xsi:type="dcterms:W3CDTF">2014-05-26T05:48:00Z</dcterms:modified>
</cp:coreProperties>
</file>