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F" w:rsidRPr="00BE6ABF" w:rsidRDefault="00BE6ABF" w:rsidP="00BE6ABF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r w:rsidRPr="00BE6ABF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知識經濟時代下台灣產業之創新策略</w:t>
      </w:r>
    </w:p>
    <w:bookmarkEnd w:id="0"/>
    <w:p w:rsidR="002D1178" w:rsidRPr="00BE6ABF" w:rsidRDefault="00BE6ABF" w:rsidP="00BE6ABF">
      <w:pPr>
        <w:jc w:val="center"/>
        <w:rPr>
          <w:rFonts w:hint="eastAsia"/>
          <w:sz w:val="28"/>
          <w:szCs w:val="28"/>
        </w:rPr>
      </w:pPr>
      <w:r w:rsidRPr="00BE6ABF">
        <w:rPr>
          <w:rFonts w:hint="eastAsia"/>
          <w:sz w:val="28"/>
          <w:szCs w:val="28"/>
        </w:rPr>
        <w:t>何錦堂</w:t>
      </w:r>
      <w:r w:rsidRPr="00BE6ABF">
        <w:rPr>
          <w:rFonts w:hint="eastAsia"/>
          <w:sz w:val="28"/>
          <w:szCs w:val="28"/>
        </w:rPr>
        <w:t xml:space="preserve">; </w:t>
      </w:r>
      <w:r w:rsidRPr="00BE6ABF">
        <w:rPr>
          <w:rFonts w:hint="eastAsia"/>
          <w:sz w:val="28"/>
          <w:szCs w:val="28"/>
        </w:rPr>
        <w:t>羅達賢</w:t>
      </w:r>
      <w:r w:rsidRPr="00BE6ABF">
        <w:rPr>
          <w:rFonts w:hint="eastAsia"/>
          <w:sz w:val="28"/>
          <w:szCs w:val="28"/>
        </w:rPr>
        <w:t xml:space="preserve">; </w:t>
      </w:r>
      <w:r w:rsidRPr="00BE6ABF">
        <w:rPr>
          <w:rFonts w:hint="eastAsia"/>
          <w:sz w:val="28"/>
          <w:szCs w:val="28"/>
        </w:rPr>
        <w:t>袁建中</w:t>
      </w:r>
    </w:p>
    <w:p w:rsidR="00BE6ABF" w:rsidRDefault="00BE6ABF">
      <w:pPr>
        <w:rPr>
          <w:rFonts w:hint="eastAsia"/>
        </w:rPr>
      </w:pPr>
    </w:p>
    <w:p w:rsidR="00BE6ABF" w:rsidRPr="00BE6ABF" w:rsidRDefault="00BE6ABF" w:rsidP="00BE6AB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世界整體經濟型態正逐漸邁向以創新為主流的「知識經濟」體系，知識產業勢將主導新世紀的經濟發展。知識經濟「創新」的內涵乃產業發展的原動力，知識的運用與創新的價值，終將取代過去以傳統工業為基礎、以自然資源為憑藉的經濟型態，資訊通訊科技(ICT)必然是未來帶動產業發展的主力，也將是經濟成長的關鍵因素。電子商務為全球知識產業經濟體之關鍵平台，因為唯有電子商務能使知識產業經濟在日常生活與工作中落實，它是一項對知識經濟的成長具有重大影響力的工具。簡言之，電子商務將轉變經濟體系中所有部門的活動內容，並對促進世界繁榮有很大貢獻。因此，本文先簡述台灣四十年來產業發展之歷程，並說明台灣近年來在資訊通訊科技之成就與應用，之後提出知識經濟時代下之「綠色矽島觀念性架構」與「台灣產業的創新策略」，以作為台灣新政府科技政策決策單位之參考；另外，並針對打造數位台灣引領經濟風潮的企圖，提出</w:t>
      </w:r>
      <w:proofErr w:type="gramStart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建設台灣成為「全球電子商務服務中心」架構，此架構</w:t>
      </w:r>
      <w:proofErr w:type="gramStart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</w:t>
      </w:r>
      <w:proofErr w:type="gramEnd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唯可以奠定台灣傳統產業轉型之契機，亦可作為台灣在邁入</w:t>
      </w:r>
      <w:proofErr w:type="gramStart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廿</w:t>
      </w:r>
      <w:proofErr w:type="gramEnd"/>
      <w:r w:rsidRPr="00BE6AB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一世紀時實現「綠色矽島」遠景之載具。</w:t>
      </w:r>
    </w:p>
    <w:p w:rsidR="00BE6ABF" w:rsidRPr="00BE6ABF" w:rsidRDefault="00BE6ABF"/>
    <w:sectPr w:rsidR="00BE6ABF" w:rsidRPr="00BE6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F"/>
    <w:rsid w:val="002D1178"/>
    <w:rsid w:val="00B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1</cp:revision>
  <dcterms:created xsi:type="dcterms:W3CDTF">2014-05-22T05:40:00Z</dcterms:created>
  <dcterms:modified xsi:type="dcterms:W3CDTF">2014-05-22T05:41:00Z</dcterms:modified>
</cp:coreProperties>
</file>