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E7" w:rsidRDefault="008B04E7">
      <w:pPr>
        <w:rPr>
          <w:rFonts w:ascii="Times New Roman" w:hAnsi="Times New Roman"/>
          <w:iCs/>
          <w:kern w:val="0"/>
          <w:sz w:val="28"/>
          <w:szCs w:val="28"/>
        </w:rPr>
      </w:pPr>
    </w:p>
    <w:p w:rsidR="008B04E7" w:rsidRDefault="008B04E7">
      <w:pPr>
        <w:rPr>
          <w:rFonts w:ascii="Times New Roman" w:hAnsi="Times New Roman"/>
          <w:iCs/>
          <w:kern w:val="0"/>
          <w:sz w:val="28"/>
          <w:szCs w:val="28"/>
        </w:rPr>
      </w:pPr>
    </w:p>
    <w:p w:rsidR="008B04E7" w:rsidRDefault="008B04E7">
      <w:pPr>
        <w:rPr>
          <w:rFonts w:ascii="Times New Roman" w:hAnsi="Times New Roman"/>
          <w:iCs/>
          <w:kern w:val="0"/>
          <w:sz w:val="28"/>
          <w:szCs w:val="28"/>
        </w:rPr>
      </w:pPr>
    </w:p>
    <w:p w:rsidR="008B04E7" w:rsidRDefault="008B04E7">
      <w:pPr>
        <w:rPr>
          <w:rFonts w:ascii="Times New Roman" w:hAnsi="Times New Roman"/>
          <w:iCs/>
          <w:kern w:val="0"/>
          <w:sz w:val="28"/>
          <w:szCs w:val="28"/>
        </w:rPr>
      </w:pPr>
    </w:p>
    <w:p w:rsidR="008B04E7" w:rsidRDefault="008B04E7">
      <w:pPr>
        <w:rPr>
          <w:rFonts w:ascii="Times New Roman" w:hAnsi="Times New Roman"/>
          <w:iCs/>
          <w:kern w:val="0"/>
          <w:sz w:val="28"/>
          <w:szCs w:val="28"/>
        </w:rPr>
      </w:pPr>
    </w:p>
    <w:p w:rsidR="008B04E7" w:rsidRPr="001D06CF" w:rsidRDefault="008B04E7" w:rsidP="001D06CF">
      <w:pPr>
        <w:jc w:val="center"/>
        <w:rPr>
          <w:rFonts w:ascii="Times New Roman" w:hAnsi="Times New Roman"/>
          <w:iCs/>
          <w:kern w:val="0"/>
          <w:sz w:val="40"/>
          <w:szCs w:val="40"/>
        </w:rPr>
      </w:pPr>
      <w:r w:rsidRPr="001D06CF">
        <w:rPr>
          <w:rFonts w:ascii="Times New Roman" w:hAnsi="Times New Roman"/>
          <w:iCs/>
          <w:kern w:val="0"/>
          <w:sz w:val="40"/>
          <w:szCs w:val="40"/>
        </w:rPr>
        <w:t>Financial Liberalization and Growth:</w:t>
      </w:r>
    </w:p>
    <w:p w:rsidR="008B04E7" w:rsidRPr="001D06CF" w:rsidRDefault="008B04E7" w:rsidP="001D06CF">
      <w:pPr>
        <w:jc w:val="center"/>
        <w:rPr>
          <w:rFonts w:ascii="Times New Roman" w:hAnsi="Times New Roman"/>
          <w:iCs/>
          <w:kern w:val="0"/>
          <w:sz w:val="40"/>
          <w:szCs w:val="40"/>
        </w:rPr>
      </w:pPr>
      <w:r w:rsidRPr="001D06CF">
        <w:rPr>
          <w:rFonts w:ascii="Times New Roman" w:hAnsi="Times New Roman"/>
          <w:iCs/>
          <w:kern w:val="0"/>
          <w:sz w:val="40"/>
          <w:szCs w:val="40"/>
        </w:rPr>
        <w:t>Does Institutional Effect Matter?</w:t>
      </w:r>
    </w:p>
    <w:p w:rsidR="008B04E7" w:rsidRDefault="008B04E7" w:rsidP="001D06CF">
      <w:pPr>
        <w:jc w:val="center"/>
        <w:rPr>
          <w:rFonts w:ascii="Times New Roman" w:hAnsi="Times New Roman"/>
          <w:iCs/>
          <w:kern w:val="0"/>
          <w:sz w:val="32"/>
          <w:szCs w:val="32"/>
        </w:rPr>
      </w:pPr>
    </w:p>
    <w:p w:rsidR="008B04E7" w:rsidRDefault="008B04E7" w:rsidP="001D06CF">
      <w:pPr>
        <w:jc w:val="center"/>
        <w:rPr>
          <w:rFonts w:ascii="Times New Roman" w:hAnsi="Times New Roman"/>
          <w:iCs/>
          <w:kern w:val="0"/>
          <w:sz w:val="32"/>
          <w:szCs w:val="32"/>
        </w:rPr>
      </w:pPr>
    </w:p>
    <w:p w:rsidR="008B04E7" w:rsidRDefault="008B04E7" w:rsidP="001D06CF">
      <w:pPr>
        <w:jc w:val="center"/>
        <w:rPr>
          <w:rFonts w:ascii="Times New Roman" w:hAnsi="Times New Roman"/>
          <w:iCs/>
          <w:kern w:val="0"/>
          <w:sz w:val="32"/>
          <w:szCs w:val="32"/>
        </w:rPr>
      </w:pPr>
    </w:p>
    <w:p w:rsidR="008B04E7" w:rsidRPr="001D06CF" w:rsidRDefault="008B04E7" w:rsidP="001D06CF">
      <w:pPr>
        <w:jc w:val="center"/>
        <w:rPr>
          <w:rFonts w:ascii="Times New Roman" w:hAnsi="Times New Roman"/>
          <w:iCs/>
          <w:kern w:val="0"/>
          <w:sz w:val="28"/>
          <w:szCs w:val="28"/>
        </w:rPr>
      </w:pPr>
      <w:r w:rsidRPr="001D06CF">
        <w:rPr>
          <w:rFonts w:ascii="Times New Roman" w:hAnsi="Times New Roman"/>
          <w:iCs/>
          <w:kern w:val="0"/>
          <w:sz w:val="28"/>
          <w:szCs w:val="28"/>
        </w:rPr>
        <w:t>Pei-</w:t>
      </w:r>
      <w:proofErr w:type="spellStart"/>
      <w:r w:rsidRPr="001D06CF">
        <w:rPr>
          <w:rFonts w:ascii="Times New Roman" w:hAnsi="Times New Roman"/>
          <w:iCs/>
          <w:kern w:val="0"/>
          <w:sz w:val="28"/>
          <w:szCs w:val="28"/>
        </w:rPr>
        <w:t>chien</w:t>
      </w:r>
      <w:proofErr w:type="spellEnd"/>
      <w:r w:rsidRPr="001D06CF">
        <w:rPr>
          <w:rFonts w:ascii="Times New Roman" w:hAnsi="Times New Roman"/>
          <w:iCs/>
          <w:kern w:val="0"/>
          <w:sz w:val="28"/>
          <w:szCs w:val="28"/>
        </w:rPr>
        <w:t xml:space="preserve"> Lin</w:t>
      </w:r>
      <w:r>
        <w:rPr>
          <w:rStyle w:val="a8"/>
          <w:rFonts w:ascii="Times New Roman" w:hAnsi="Times New Roman"/>
          <w:iCs/>
          <w:kern w:val="0"/>
          <w:sz w:val="28"/>
          <w:szCs w:val="28"/>
        </w:rPr>
        <w:footnoteReference w:id="1"/>
      </w:r>
    </w:p>
    <w:p w:rsidR="008B04E7" w:rsidRPr="001D06CF" w:rsidRDefault="008B04E7" w:rsidP="001D06CF">
      <w:pPr>
        <w:jc w:val="center"/>
        <w:rPr>
          <w:rFonts w:ascii="Times New Roman" w:hAnsi="Times New Roman"/>
          <w:iCs/>
          <w:kern w:val="0"/>
          <w:sz w:val="28"/>
          <w:szCs w:val="28"/>
        </w:rPr>
      </w:pPr>
      <w:r w:rsidRPr="001D06CF">
        <w:rPr>
          <w:rFonts w:ascii="Times New Roman" w:hAnsi="Times New Roman"/>
          <w:iCs/>
          <w:kern w:val="0"/>
          <w:sz w:val="28"/>
          <w:szCs w:val="28"/>
        </w:rPr>
        <w:t>Department of Industrial Economics</w:t>
      </w:r>
    </w:p>
    <w:p w:rsidR="008B04E7" w:rsidRDefault="008B04E7" w:rsidP="001D06CF">
      <w:pPr>
        <w:jc w:val="center"/>
        <w:rPr>
          <w:rFonts w:ascii="Times New Roman" w:hAnsi="Times New Roman"/>
          <w:iCs/>
          <w:kern w:val="0"/>
          <w:sz w:val="28"/>
          <w:szCs w:val="28"/>
        </w:rPr>
      </w:pPr>
      <w:proofErr w:type="spellStart"/>
      <w:smartTag w:uri="urn:schemas-microsoft-com:office:smarttags" w:element="PlaceName">
        <w:smartTag w:uri="urn:schemas-microsoft-com:office:smarttags" w:element="place">
          <w:r w:rsidRPr="001D06CF">
            <w:rPr>
              <w:rFonts w:ascii="Times New Roman" w:hAnsi="Times New Roman"/>
              <w:iCs/>
              <w:kern w:val="0"/>
              <w:sz w:val="28"/>
              <w:szCs w:val="28"/>
            </w:rPr>
            <w:t>Tamkang</w:t>
          </w:r>
        </w:smartTag>
        <w:proofErr w:type="spellEnd"/>
        <w:r w:rsidRPr="001D06CF">
          <w:rPr>
            <w:rFonts w:ascii="Times New Roman" w:hAnsi="Times New Roman"/>
            <w:iCs/>
            <w:kern w:val="0"/>
            <w:sz w:val="28"/>
            <w:szCs w:val="28"/>
          </w:rPr>
          <w:t xml:space="preserve"> </w:t>
        </w:r>
        <w:smartTag w:uri="urn:schemas-microsoft-com:office:smarttags" w:element="PlaceType">
          <w:r w:rsidRPr="001D06CF">
            <w:rPr>
              <w:rFonts w:ascii="Times New Roman" w:hAnsi="Times New Roman"/>
              <w:iCs/>
              <w:kern w:val="0"/>
              <w:sz w:val="28"/>
              <w:szCs w:val="28"/>
            </w:rPr>
            <w:t>University</w:t>
          </w:r>
        </w:smartTag>
      </w:smartTag>
      <w:r w:rsidRPr="001D06CF">
        <w:rPr>
          <w:rFonts w:ascii="Times New Roman" w:hAnsi="Times New Roman"/>
          <w:iCs/>
          <w:kern w:val="0"/>
          <w:sz w:val="28"/>
          <w:szCs w:val="28"/>
        </w:rPr>
        <w:t xml:space="preserve"> </w:t>
      </w:r>
    </w:p>
    <w:p w:rsidR="008B04E7" w:rsidRDefault="008B04E7" w:rsidP="001D06CF">
      <w:pPr>
        <w:jc w:val="center"/>
        <w:rPr>
          <w:rFonts w:ascii="Times New Roman" w:hAnsi="Times New Roman"/>
          <w:iCs/>
          <w:kern w:val="0"/>
          <w:sz w:val="28"/>
          <w:szCs w:val="28"/>
        </w:rPr>
      </w:pPr>
    </w:p>
    <w:p w:rsidR="008B04E7" w:rsidRDefault="008B04E7" w:rsidP="001D06CF">
      <w:pPr>
        <w:jc w:val="center"/>
        <w:rPr>
          <w:rFonts w:ascii="Times New Roman" w:hAnsi="Times New Roman"/>
          <w:iCs/>
          <w:kern w:val="0"/>
          <w:sz w:val="28"/>
          <w:szCs w:val="28"/>
        </w:rPr>
      </w:pPr>
    </w:p>
    <w:p w:rsidR="008B04E7" w:rsidRDefault="008B04E7" w:rsidP="001D06CF">
      <w:pPr>
        <w:jc w:val="center"/>
        <w:rPr>
          <w:rFonts w:ascii="Times New Roman" w:hAnsi="Times New Roman"/>
          <w:iCs/>
          <w:kern w:val="0"/>
          <w:sz w:val="28"/>
          <w:szCs w:val="28"/>
        </w:rPr>
      </w:pPr>
    </w:p>
    <w:p w:rsidR="008B04E7" w:rsidRDefault="008B04E7" w:rsidP="001D06CF">
      <w:pPr>
        <w:jc w:val="center"/>
        <w:rPr>
          <w:rFonts w:ascii="Times New Roman" w:hAnsi="Times New Roman"/>
          <w:iCs/>
          <w:kern w:val="0"/>
          <w:sz w:val="28"/>
          <w:szCs w:val="28"/>
        </w:rPr>
      </w:pPr>
    </w:p>
    <w:p w:rsidR="008B04E7" w:rsidRDefault="008B04E7" w:rsidP="001D06CF">
      <w:pPr>
        <w:jc w:val="center"/>
        <w:rPr>
          <w:rFonts w:ascii="Times New Roman" w:hAnsi="Times New Roman"/>
          <w:iCs/>
          <w:kern w:val="0"/>
          <w:sz w:val="28"/>
          <w:szCs w:val="28"/>
        </w:rPr>
      </w:pPr>
    </w:p>
    <w:p w:rsidR="008B04E7" w:rsidRDefault="008B04E7" w:rsidP="001D06CF">
      <w:pPr>
        <w:jc w:val="center"/>
        <w:rPr>
          <w:rFonts w:ascii="Times New Roman" w:hAnsi="Times New Roman"/>
          <w:kern w:val="0"/>
          <w:sz w:val="28"/>
          <w:szCs w:val="28"/>
        </w:rPr>
      </w:pPr>
      <w:r w:rsidRPr="001D06CF">
        <w:rPr>
          <w:rFonts w:ascii="Times New Roman" w:hAnsi="Times New Roman"/>
          <w:kern w:val="0"/>
          <w:sz w:val="28"/>
          <w:szCs w:val="28"/>
        </w:rPr>
        <w:t>Wei-Jen Cheng</w:t>
      </w:r>
    </w:p>
    <w:p w:rsidR="008B04E7" w:rsidRPr="001D06CF" w:rsidRDefault="008B04E7" w:rsidP="001D06CF">
      <w:pPr>
        <w:jc w:val="center"/>
        <w:rPr>
          <w:rFonts w:ascii="Times New Roman" w:hAnsi="Times New Roman"/>
          <w:iCs/>
          <w:kern w:val="0"/>
          <w:sz w:val="28"/>
          <w:szCs w:val="28"/>
        </w:rPr>
      </w:pPr>
      <w:r w:rsidRPr="001D06CF">
        <w:rPr>
          <w:rFonts w:ascii="Times New Roman" w:hAnsi="Times New Roman"/>
          <w:iCs/>
          <w:kern w:val="0"/>
          <w:sz w:val="28"/>
          <w:szCs w:val="28"/>
        </w:rPr>
        <w:t>Department of Industrial Economics</w:t>
      </w:r>
    </w:p>
    <w:p w:rsidR="008B04E7" w:rsidRDefault="008B04E7" w:rsidP="001D06CF">
      <w:pPr>
        <w:jc w:val="center"/>
        <w:rPr>
          <w:rFonts w:ascii="Times New Roman" w:hAnsi="Times New Roman"/>
          <w:iCs/>
          <w:kern w:val="0"/>
          <w:sz w:val="28"/>
          <w:szCs w:val="28"/>
        </w:rPr>
      </w:pPr>
      <w:proofErr w:type="spellStart"/>
      <w:smartTag w:uri="urn:schemas-microsoft-com:office:smarttags" w:element="PlaceName">
        <w:smartTag w:uri="urn:schemas-microsoft-com:office:smarttags" w:element="place">
          <w:r w:rsidRPr="001D06CF">
            <w:rPr>
              <w:rFonts w:ascii="Times New Roman" w:hAnsi="Times New Roman"/>
              <w:iCs/>
              <w:kern w:val="0"/>
              <w:sz w:val="28"/>
              <w:szCs w:val="28"/>
            </w:rPr>
            <w:t>Tamkang</w:t>
          </w:r>
        </w:smartTag>
        <w:proofErr w:type="spellEnd"/>
        <w:r w:rsidRPr="001D06CF">
          <w:rPr>
            <w:rFonts w:ascii="Times New Roman" w:hAnsi="Times New Roman"/>
            <w:iCs/>
            <w:kern w:val="0"/>
            <w:sz w:val="28"/>
            <w:szCs w:val="28"/>
          </w:rPr>
          <w:t xml:space="preserve"> </w:t>
        </w:r>
        <w:smartTag w:uri="urn:schemas-microsoft-com:office:smarttags" w:element="country-region">
          <w:smartTag w:uri="urn:schemas-microsoft-com:office:smarttags" w:element="PlaceType">
            <w:r w:rsidRPr="001D06CF">
              <w:rPr>
                <w:rFonts w:ascii="Times New Roman" w:hAnsi="Times New Roman"/>
                <w:iCs/>
                <w:kern w:val="0"/>
                <w:sz w:val="28"/>
                <w:szCs w:val="28"/>
              </w:rPr>
              <w:t>University</w:t>
            </w:r>
          </w:smartTag>
        </w:smartTag>
      </w:smartTag>
      <w:r w:rsidRPr="001D06CF">
        <w:rPr>
          <w:rFonts w:ascii="Times New Roman" w:hAnsi="Times New Roman"/>
          <w:iCs/>
          <w:kern w:val="0"/>
          <w:sz w:val="28"/>
          <w:szCs w:val="28"/>
        </w:rPr>
        <w:t xml:space="preserve"> </w:t>
      </w: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Pr="007046C8" w:rsidRDefault="008B04E7" w:rsidP="00F90286">
      <w:pPr>
        <w:jc w:val="center"/>
        <w:rPr>
          <w:rFonts w:ascii="Times New Roman" w:hAnsi="Times New Roman"/>
          <w:b/>
        </w:rPr>
      </w:pPr>
      <w:r w:rsidRPr="007046C8">
        <w:rPr>
          <w:rFonts w:ascii="Times New Roman" w:hAnsi="Times New Roman"/>
          <w:b/>
        </w:rPr>
        <w:t>Abstract</w:t>
      </w:r>
    </w:p>
    <w:p w:rsidR="008B04E7" w:rsidRDefault="008B04E7" w:rsidP="00F90286"/>
    <w:p w:rsidR="008B04E7" w:rsidRDefault="008B04E7" w:rsidP="00F90286"/>
    <w:p w:rsidR="008B04E7" w:rsidRDefault="008B04E7" w:rsidP="00F90286">
      <w:pPr>
        <w:autoSpaceDE w:val="0"/>
        <w:autoSpaceDN w:val="0"/>
        <w:adjustRightInd w:val="0"/>
        <w:ind w:firstLineChars="250" w:firstLine="600"/>
        <w:rPr>
          <w:rFonts w:ascii="Times New Roman" w:hAnsi="Times New Roman"/>
          <w:kern w:val="0"/>
          <w:szCs w:val="24"/>
        </w:rPr>
      </w:pPr>
      <w:r w:rsidRPr="00A12E38">
        <w:rPr>
          <w:rFonts w:ascii="Times New Roman" w:hAnsi="Times New Roman"/>
        </w:rPr>
        <w:t xml:space="preserve">The positive growth effect of financial liberalization in the form of equity market openness </w:t>
      </w:r>
      <w:r>
        <w:rPr>
          <w:rFonts w:ascii="Times New Roman" w:hAnsi="Times New Roman"/>
        </w:rPr>
        <w:t xml:space="preserve">or capital account openness </w:t>
      </w:r>
      <w:r w:rsidRPr="00A12E38">
        <w:rPr>
          <w:rFonts w:ascii="Times New Roman" w:hAnsi="Times New Roman"/>
        </w:rPr>
        <w:t>has been well documented in the literature. In this paper, I will go further to investigate if the growth</w:t>
      </w:r>
      <w:r w:rsidRPr="00A12E38">
        <w:rPr>
          <w:rFonts w:ascii="Times New Roman" w:hAnsi="Times New Roman"/>
          <w:kern w:val="0"/>
        </w:rPr>
        <w:t xml:space="preserve"> effect may be heterogeneous across countries at different stages of institutional development, such as the degrees of corruption, bureaucracy, and law and order. The results obtained suggest that after controlling for other determinants of growth, the positive growth effect of equity market openness disappeared after considering institutional effect. However, when considering the interaction between equity market openness and institutional factor, the result shows that </w:t>
      </w:r>
      <w:r w:rsidRPr="00A12E38">
        <w:rPr>
          <w:rFonts w:ascii="Times New Roman" w:hAnsi="Times New Roman"/>
          <w:kern w:val="0"/>
          <w:szCs w:val="24"/>
        </w:rPr>
        <w:t xml:space="preserve">an open </w:t>
      </w:r>
      <w:r>
        <w:rPr>
          <w:rFonts w:ascii="Times New Roman" w:hAnsi="Times New Roman"/>
          <w:kern w:val="0"/>
          <w:szCs w:val="24"/>
        </w:rPr>
        <w:t>equity market</w:t>
      </w:r>
      <w:r w:rsidRPr="00A12E38">
        <w:rPr>
          <w:rFonts w:ascii="Times New Roman" w:hAnsi="Times New Roman"/>
          <w:kern w:val="0"/>
          <w:szCs w:val="24"/>
        </w:rPr>
        <w:t xml:space="preserve"> positively affects growth only after a country has achieved a certain</w:t>
      </w:r>
      <w:r>
        <w:rPr>
          <w:rFonts w:ascii="Times New Roman" w:hAnsi="Times New Roman"/>
          <w:kern w:val="0"/>
          <w:szCs w:val="24"/>
        </w:rPr>
        <w:t xml:space="preserve"> </w:t>
      </w:r>
      <w:r w:rsidRPr="00A12E38">
        <w:rPr>
          <w:rFonts w:ascii="Times New Roman" w:hAnsi="Times New Roman"/>
          <w:kern w:val="0"/>
          <w:szCs w:val="24"/>
        </w:rPr>
        <w:t xml:space="preserve">degree of </w:t>
      </w:r>
      <w:r>
        <w:rPr>
          <w:rFonts w:ascii="Times New Roman" w:hAnsi="Times New Roman"/>
          <w:kern w:val="0"/>
          <w:szCs w:val="24"/>
        </w:rPr>
        <w:t xml:space="preserve">institutional </w:t>
      </w:r>
      <w:r w:rsidRPr="00A12E38">
        <w:rPr>
          <w:rFonts w:ascii="Times New Roman" w:hAnsi="Times New Roman"/>
          <w:kern w:val="0"/>
          <w:szCs w:val="24"/>
        </w:rPr>
        <w:t>development</w:t>
      </w:r>
      <w:r>
        <w:rPr>
          <w:rFonts w:ascii="Times New Roman" w:hAnsi="Times New Roman"/>
          <w:kern w:val="0"/>
          <w:szCs w:val="24"/>
        </w:rPr>
        <w:t>, and this institutional effect is especially important for less developed countries</w:t>
      </w:r>
      <w:r w:rsidRPr="00A12E38">
        <w:rPr>
          <w:rFonts w:ascii="Times New Roman" w:hAnsi="Times New Roman"/>
          <w:kern w:val="0"/>
          <w:szCs w:val="24"/>
        </w:rPr>
        <w:t>.</w:t>
      </w:r>
      <w:r>
        <w:rPr>
          <w:rFonts w:ascii="Times New Roman" w:hAnsi="Times New Roman"/>
          <w:kern w:val="0"/>
          <w:szCs w:val="24"/>
        </w:rPr>
        <w:t xml:space="preserve"> This provides support to the view that there is an optimal sequencing for equity market liberalization.</w:t>
      </w:r>
    </w:p>
    <w:p w:rsidR="008B04E7" w:rsidRDefault="008B04E7" w:rsidP="00F90286">
      <w:pPr>
        <w:autoSpaceDE w:val="0"/>
        <w:autoSpaceDN w:val="0"/>
        <w:adjustRightInd w:val="0"/>
        <w:rPr>
          <w:rFonts w:ascii="Times New Roman" w:hAnsi="Times New Roman"/>
          <w:kern w:val="0"/>
        </w:rPr>
      </w:pPr>
      <w:r w:rsidRPr="00A12E38">
        <w:rPr>
          <w:rFonts w:ascii="Times New Roman" w:hAnsi="Times New Roman"/>
          <w:kern w:val="0"/>
        </w:rPr>
        <w:t xml:space="preserve">  </w:t>
      </w:r>
    </w:p>
    <w:p w:rsidR="008B04E7" w:rsidRDefault="008B04E7" w:rsidP="00F90286">
      <w:pPr>
        <w:autoSpaceDE w:val="0"/>
        <w:autoSpaceDN w:val="0"/>
        <w:adjustRightInd w:val="0"/>
        <w:rPr>
          <w:rFonts w:ascii="Times New Roman" w:hAnsi="Times New Roman"/>
          <w:kern w:val="0"/>
        </w:rPr>
      </w:pPr>
    </w:p>
    <w:p w:rsidR="008B04E7" w:rsidRPr="00D3734C" w:rsidRDefault="008B04E7" w:rsidP="00F90286">
      <w:pPr>
        <w:autoSpaceDE w:val="0"/>
        <w:autoSpaceDN w:val="0"/>
        <w:adjustRightInd w:val="0"/>
        <w:rPr>
          <w:rFonts w:ascii="Times New Roman" w:eastAsia="CMTI12" w:hAnsi="Times New Roman"/>
          <w:i/>
          <w:iCs/>
          <w:kern w:val="0"/>
          <w:szCs w:val="24"/>
        </w:rPr>
      </w:pPr>
      <w:r w:rsidRPr="00352D82">
        <w:rPr>
          <w:rFonts w:ascii="Times New Roman" w:eastAsia="CMTI12" w:hAnsi="Times New Roman"/>
          <w:i/>
          <w:iCs/>
          <w:kern w:val="0"/>
          <w:szCs w:val="24"/>
        </w:rPr>
        <w:t>Keywords:</w:t>
      </w:r>
      <w:r w:rsidRPr="00D3734C">
        <w:rPr>
          <w:rFonts w:ascii="Times New Roman" w:eastAsia="CMTI12" w:hAnsi="Times New Roman"/>
          <w:i/>
          <w:iCs/>
          <w:kern w:val="0"/>
          <w:szCs w:val="24"/>
        </w:rPr>
        <w:t xml:space="preserve"> </w:t>
      </w:r>
      <w:r w:rsidRPr="00D3734C">
        <w:rPr>
          <w:rFonts w:ascii="Times New Roman" w:eastAsia="AdvTimes" w:hAnsi="Times New Roman"/>
          <w:kern w:val="0"/>
          <w:szCs w:val="24"/>
        </w:rPr>
        <w:t xml:space="preserve">Equity market liberalization; </w:t>
      </w:r>
      <w:proofErr w:type="gramStart"/>
      <w:r w:rsidRPr="00D3734C">
        <w:rPr>
          <w:rFonts w:ascii="Times New Roman" w:eastAsia="AdvTimes" w:hAnsi="Times New Roman"/>
          <w:kern w:val="0"/>
          <w:szCs w:val="24"/>
        </w:rPr>
        <w:t>Financial</w:t>
      </w:r>
      <w:proofErr w:type="gramEnd"/>
      <w:r w:rsidRPr="00D3734C">
        <w:rPr>
          <w:rFonts w:ascii="Times New Roman" w:eastAsia="AdvTimes" w:hAnsi="Times New Roman"/>
          <w:kern w:val="0"/>
          <w:szCs w:val="24"/>
        </w:rPr>
        <w:t xml:space="preserve"> </w:t>
      </w:r>
      <w:r>
        <w:rPr>
          <w:rFonts w:ascii="Times New Roman" w:eastAsia="AdvTimes" w:hAnsi="Times New Roman"/>
          <w:kern w:val="0"/>
          <w:szCs w:val="24"/>
        </w:rPr>
        <w:t>liberalization</w:t>
      </w:r>
      <w:r w:rsidRPr="00D3734C">
        <w:rPr>
          <w:rFonts w:ascii="Times New Roman" w:eastAsia="AdvTimes" w:hAnsi="Times New Roman"/>
          <w:kern w:val="0"/>
          <w:szCs w:val="24"/>
        </w:rPr>
        <w:t xml:space="preserve">; </w:t>
      </w:r>
      <w:r>
        <w:rPr>
          <w:rFonts w:ascii="Times New Roman" w:eastAsia="AdvTimes" w:hAnsi="Times New Roman"/>
          <w:kern w:val="0"/>
          <w:szCs w:val="24"/>
        </w:rPr>
        <w:t xml:space="preserve">Capital account openness; </w:t>
      </w:r>
      <w:r w:rsidRPr="00D3734C">
        <w:rPr>
          <w:rFonts w:ascii="Times New Roman" w:eastAsia="AdvTimes" w:hAnsi="Times New Roman"/>
          <w:kern w:val="0"/>
          <w:szCs w:val="24"/>
        </w:rPr>
        <w:t>Quality of</w:t>
      </w:r>
      <w:r>
        <w:rPr>
          <w:rFonts w:ascii="Times New Roman" w:eastAsia="AdvTimes" w:hAnsi="Times New Roman"/>
          <w:kern w:val="0"/>
          <w:szCs w:val="24"/>
        </w:rPr>
        <w:t xml:space="preserve"> </w:t>
      </w:r>
      <w:r w:rsidRPr="00D3734C">
        <w:rPr>
          <w:rFonts w:ascii="Times New Roman" w:eastAsia="AdvTimes" w:hAnsi="Times New Roman"/>
          <w:kern w:val="0"/>
          <w:szCs w:val="24"/>
        </w:rPr>
        <w:t>institutions; growth</w:t>
      </w:r>
    </w:p>
    <w:p w:rsidR="008B04E7" w:rsidRPr="00352D82" w:rsidRDefault="008B04E7" w:rsidP="00F90286">
      <w:pPr>
        <w:autoSpaceDE w:val="0"/>
        <w:autoSpaceDN w:val="0"/>
        <w:adjustRightInd w:val="0"/>
        <w:rPr>
          <w:rFonts w:ascii="Times New Roman" w:hAnsi="Times New Roman"/>
        </w:rPr>
      </w:pPr>
      <w:r w:rsidRPr="00352D82">
        <w:rPr>
          <w:rFonts w:ascii="Times New Roman" w:eastAsia="CMTI12" w:hAnsi="Times New Roman"/>
          <w:i/>
          <w:iCs/>
          <w:kern w:val="0"/>
          <w:szCs w:val="24"/>
        </w:rPr>
        <w:t xml:space="preserve">JEL Classification: </w:t>
      </w:r>
      <w:r w:rsidRPr="00D3734C">
        <w:rPr>
          <w:rFonts w:ascii="Times New Roman" w:eastAsia="AdvTimes" w:hAnsi="Times New Roman"/>
          <w:kern w:val="0"/>
          <w:szCs w:val="24"/>
        </w:rPr>
        <w:t>F36; F43; G15; G18</w:t>
      </w: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Default="008B04E7" w:rsidP="001D06CF">
      <w:pPr>
        <w:jc w:val="center"/>
        <w:rPr>
          <w:rFonts w:ascii="Times New Roman" w:hAnsi="Times New Roman"/>
          <w:sz w:val="28"/>
          <w:szCs w:val="28"/>
        </w:rPr>
      </w:pPr>
    </w:p>
    <w:p w:rsidR="008B04E7" w:rsidRPr="00F90286" w:rsidRDefault="008B04E7" w:rsidP="001D06CF">
      <w:pPr>
        <w:jc w:val="center"/>
        <w:rPr>
          <w:rFonts w:ascii="Times New Roman" w:hAnsi="Times New Roman"/>
          <w:sz w:val="28"/>
          <w:szCs w:val="28"/>
        </w:rPr>
      </w:pPr>
    </w:p>
    <w:p w:rsidR="008B04E7" w:rsidRPr="00D06BCB" w:rsidRDefault="008B04E7" w:rsidP="00D06BCB">
      <w:pPr>
        <w:pStyle w:val="a9"/>
        <w:numPr>
          <w:ilvl w:val="0"/>
          <w:numId w:val="3"/>
        </w:numPr>
        <w:ind w:leftChars="0"/>
        <w:rPr>
          <w:rFonts w:ascii="Times New Roman" w:hAnsi="Times New Roman"/>
          <w:b/>
          <w:szCs w:val="24"/>
        </w:rPr>
      </w:pPr>
      <w:r w:rsidRPr="00D06BCB">
        <w:rPr>
          <w:rFonts w:ascii="Times New Roman" w:hAnsi="Times New Roman"/>
          <w:b/>
          <w:szCs w:val="24"/>
        </w:rPr>
        <w:t>Introduction</w:t>
      </w:r>
    </w:p>
    <w:p w:rsidR="008B04E7" w:rsidRPr="00D23CB7" w:rsidRDefault="008B04E7" w:rsidP="006418C2">
      <w:pPr>
        <w:pStyle w:val="a9"/>
        <w:ind w:leftChars="0" w:left="720"/>
        <w:rPr>
          <w:rFonts w:ascii="Times New Roman" w:hAnsi="Times New Roman"/>
          <w:szCs w:val="24"/>
        </w:rPr>
      </w:pPr>
    </w:p>
    <w:p w:rsidR="008B04E7" w:rsidRPr="00D23CB7" w:rsidRDefault="008B04E7" w:rsidP="008E4D01">
      <w:pPr>
        <w:autoSpaceDE w:val="0"/>
        <w:autoSpaceDN w:val="0"/>
        <w:adjustRightInd w:val="0"/>
        <w:ind w:firstLineChars="250" w:firstLine="600"/>
        <w:rPr>
          <w:rFonts w:ascii="Times New Roman" w:hAnsi="Times New Roman"/>
          <w:szCs w:val="24"/>
        </w:rPr>
      </w:pPr>
      <w:r w:rsidRPr="00D23CB7">
        <w:rPr>
          <w:rFonts w:ascii="Times New Roman" w:hAnsi="Times New Roman"/>
          <w:szCs w:val="24"/>
        </w:rPr>
        <w:t xml:space="preserve">The remainder of this article is structured as follows. Section 2 briefly outlines the empirical strategy applied. Section 3 describes </w:t>
      </w:r>
      <w:r w:rsidRPr="00D23CB7">
        <w:rPr>
          <w:rFonts w:ascii="Times New Roman" w:eastAsia="CMR12" w:hAnsi="Times New Roman"/>
          <w:kern w:val="0"/>
          <w:szCs w:val="24"/>
        </w:rPr>
        <w:t>the data sources and the construction of relevant variables.</w:t>
      </w:r>
      <w:r>
        <w:rPr>
          <w:rFonts w:ascii="Times New Roman" w:eastAsia="CMR12" w:hAnsi="Times New Roman"/>
          <w:kern w:val="0"/>
          <w:szCs w:val="24"/>
        </w:rPr>
        <w:t xml:space="preserve"> </w:t>
      </w:r>
      <w:r w:rsidRPr="00D23CB7">
        <w:rPr>
          <w:rFonts w:ascii="Times New Roman" w:eastAsia="CMR12" w:hAnsi="Times New Roman"/>
          <w:kern w:val="0"/>
          <w:szCs w:val="24"/>
        </w:rPr>
        <w:t xml:space="preserve">Section 4 presents our main results. </w:t>
      </w:r>
      <w:r>
        <w:rPr>
          <w:rFonts w:ascii="Times New Roman" w:hAnsi="Times New Roman"/>
          <w:kern w:val="0"/>
          <w:szCs w:val="24"/>
        </w:rPr>
        <w:t xml:space="preserve">Section 5 provides some sensitivity analysis. </w:t>
      </w:r>
      <w:r w:rsidRPr="00D23CB7">
        <w:rPr>
          <w:rFonts w:ascii="Times New Roman" w:eastAsia="CMR12" w:hAnsi="Times New Roman"/>
          <w:kern w:val="0"/>
          <w:szCs w:val="24"/>
        </w:rPr>
        <w:t>Lastly,</w:t>
      </w:r>
      <w:r>
        <w:rPr>
          <w:rFonts w:ascii="Times New Roman" w:eastAsia="CMR12" w:hAnsi="Times New Roman"/>
          <w:kern w:val="0"/>
          <w:szCs w:val="24"/>
        </w:rPr>
        <w:t xml:space="preserve"> </w:t>
      </w:r>
      <w:r w:rsidRPr="00D23CB7">
        <w:rPr>
          <w:rFonts w:ascii="Times New Roman" w:eastAsia="CMR12" w:hAnsi="Times New Roman"/>
          <w:kern w:val="0"/>
          <w:szCs w:val="24"/>
        </w:rPr>
        <w:t xml:space="preserve">Section </w:t>
      </w:r>
      <w:r>
        <w:rPr>
          <w:rFonts w:ascii="Times New Roman" w:hAnsi="Times New Roman"/>
          <w:kern w:val="0"/>
          <w:szCs w:val="24"/>
        </w:rPr>
        <w:t>6</w:t>
      </w:r>
      <w:r w:rsidRPr="00D23CB7">
        <w:rPr>
          <w:rFonts w:ascii="Times New Roman" w:eastAsia="CMR12" w:hAnsi="Times New Roman"/>
          <w:kern w:val="0"/>
          <w:szCs w:val="24"/>
        </w:rPr>
        <w:t xml:space="preserve"> concludes.</w:t>
      </w:r>
      <w:r w:rsidRPr="00D23CB7">
        <w:rPr>
          <w:rFonts w:ascii="Times New Roman" w:hAnsi="Times New Roman"/>
          <w:szCs w:val="24"/>
        </w:rPr>
        <w:t xml:space="preserve"> </w:t>
      </w:r>
    </w:p>
    <w:p w:rsidR="008B04E7" w:rsidRPr="00D23CB7" w:rsidRDefault="008B04E7" w:rsidP="006418C2">
      <w:pPr>
        <w:pStyle w:val="a9"/>
        <w:ind w:leftChars="0" w:left="720"/>
        <w:rPr>
          <w:rFonts w:ascii="Times New Roman" w:hAnsi="Times New Roman"/>
          <w:szCs w:val="24"/>
        </w:rPr>
      </w:pPr>
    </w:p>
    <w:p w:rsidR="008B04E7" w:rsidRPr="00D06BCB" w:rsidRDefault="008B04E7" w:rsidP="00D06BCB">
      <w:pPr>
        <w:pStyle w:val="a9"/>
        <w:numPr>
          <w:ilvl w:val="0"/>
          <w:numId w:val="3"/>
        </w:numPr>
        <w:ind w:leftChars="0"/>
        <w:rPr>
          <w:rFonts w:ascii="Times New Roman" w:hAnsi="Times New Roman"/>
          <w:b/>
          <w:szCs w:val="24"/>
        </w:rPr>
      </w:pPr>
      <w:r w:rsidRPr="00D06BCB">
        <w:rPr>
          <w:rFonts w:ascii="Times New Roman" w:hAnsi="Times New Roman"/>
          <w:b/>
          <w:szCs w:val="24"/>
        </w:rPr>
        <w:t>Empirical Strategy</w:t>
      </w:r>
    </w:p>
    <w:p w:rsidR="008B04E7" w:rsidRDefault="008B04E7" w:rsidP="006418C2">
      <w:pPr>
        <w:pStyle w:val="a9"/>
        <w:ind w:leftChars="0" w:left="720"/>
        <w:rPr>
          <w:rFonts w:ascii="Times New Roman" w:hAnsi="Times New Roman"/>
          <w:szCs w:val="24"/>
        </w:rPr>
      </w:pPr>
    </w:p>
    <w:p w:rsidR="008B04E7" w:rsidRDefault="008B04E7" w:rsidP="006418C2">
      <w:pPr>
        <w:pStyle w:val="a9"/>
        <w:ind w:leftChars="0" w:left="720"/>
        <w:rPr>
          <w:rFonts w:ascii="Times New Roman" w:hAnsi="Times New Roman"/>
          <w:szCs w:val="24"/>
        </w:rPr>
      </w:pPr>
      <w:r>
        <w:rPr>
          <w:rFonts w:ascii="Times New Roman" w:hAnsi="Times New Roman"/>
          <w:szCs w:val="24"/>
        </w:rPr>
        <w:t>For our research purpose, we consider the following regression equation:</w:t>
      </w:r>
    </w:p>
    <w:p w:rsidR="008B04E7" w:rsidRDefault="008B04E7" w:rsidP="006418C2">
      <w:pPr>
        <w:pStyle w:val="a9"/>
        <w:ind w:leftChars="0" w:left="720"/>
        <w:rPr>
          <w:rFonts w:ascii="Times New Roman" w:hAnsi="Times New Roman"/>
          <w:szCs w:val="24"/>
        </w:rPr>
      </w:pPr>
      <w:r w:rsidRPr="00D23CB7">
        <w:rPr>
          <w:rFonts w:ascii="Times New Roman" w:hAnsi="Times New Roman"/>
          <w:position w:val="-14"/>
          <w:szCs w:val="24"/>
        </w:rPr>
        <w:object w:dxaOrig="6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20.5pt" o:ole="">
            <v:imagedata r:id="rId7" o:title=""/>
          </v:shape>
          <o:OLEObject Type="Embed" ProgID="Equation.3" ShapeID="_x0000_i1025" DrawAspect="Content" ObjectID="_1428410990" r:id="rId8"/>
        </w:object>
      </w:r>
      <w:r>
        <w:rPr>
          <w:rFonts w:ascii="Times New Roman" w:hAnsi="Times New Roman"/>
          <w:szCs w:val="24"/>
        </w:rPr>
        <w:t xml:space="preserve">                  (1)           </w:t>
      </w:r>
    </w:p>
    <w:p w:rsidR="008B04E7" w:rsidRDefault="008B04E7" w:rsidP="00E66284">
      <w:pPr>
        <w:pStyle w:val="a9"/>
        <w:ind w:leftChars="0" w:left="0"/>
        <w:rPr>
          <w:rFonts w:ascii="Times New Roman" w:hAnsi="Times New Roman"/>
          <w:szCs w:val="24"/>
        </w:rPr>
      </w:pPr>
      <w:r>
        <w:rPr>
          <w:rFonts w:ascii="Times New Roman" w:hAnsi="Times New Roman"/>
          <w:szCs w:val="24"/>
        </w:rPr>
        <w:t>The dependent variable is the logarithmic growth rate (</w:t>
      </w:r>
      <w:r w:rsidRPr="00B17D80">
        <w:rPr>
          <w:rFonts w:ascii="Times New Roman" w:hAnsi="Times New Roman"/>
          <w:position w:val="-14"/>
          <w:szCs w:val="24"/>
        </w:rPr>
        <w:object w:dxaOrig="360" w:dyaOrig="380">
          <v:shape id="_x0000_i1026" type="#_x0000_t75" style="width:18pt;height:19pt" o:ole="">
            <v:imagedata r:id="rId9" o:title=""/>
          </v:shape>
          <o:OLEObject Type="Embed" ProgID="Equation.3" ShapeID="_x0000_i1026" DrawAspect="Content" ObjectID="_1428410991" r:id="rId10"/>
        </w:object>
      </w:r>
      <w:r>
        <w:rPr>
          <w:rFonts w:ascii="Times New Roman" w:hAnsi="Times New Roman"/>
          <w:szCs w:val="24"/>
        </w:rPr>
        <w:t>) of annual real per capita GDP (</w:t>
      </w:r>
      <w:r w:rsidRPr="00B17D80">
        <w:rPr>
          <w:rFonts w:ascii="Times New Roman" w:hAnsi="Times New Roman"/>
          <w:position w:val="-14"/>
          <w:szCs w:val="24"/>
        </w:rPr>
        <w:object w:dxaOrig="360" w:dyaOrig="380">
          <v:shape id="_x0000_i1027" type="#_x0000_t75" style="width:18pt;height:19pt" o:ole="">
            <v:imagedata r:id="rId11" o:title=""/>
          </v:shape>
          <o:OLEObject Type="Embed" ProgID="Equation.3" ShapeID="_x0000_i1027" DrawAspect="Content" ObjectID="_1428410992" r:id="rId12"/>
        </w:object>
      </w:r>
      <w:r>
        <w:rPr>
          <w:rFonts w:ascii="Times New Roman" w:hAnsi="Times New Roman"/>
          <w:szCs w:val="24"/>
        </w:rPr>
        <w:t xml:space="preserve">) in country </w:t>
      </w:r>
      <w:r w:rsidRPr="00B17D80">
        <w:rPr>
          <w:rFonts w:ascii="Times New Roman" w:hAnsi="Times New Roman"/>
          <w:position w:val="-6"/>
          <w:szCs w:val="24"/>
        </w:rPr>
        <w:object w:dxaOrig="139" w:dyaOrig="260">
          <v:shape id="_x0000_i1028" type="#_x0000_t75" style="width:6.5pt;height:13pt" o:ole="">
            <v:imagedata r:id="rId13" o:title=""/>
          </v:shape>
          <o:OLEObject Type="Embed" ProgID="Equation.3" ShapeID="_x0000_i1028" DrawAspect="Content" ObjectID="_1428410993" r:id="rId14"/>
        </w:object>
      </w:r>
      <w:r>
        <w:rPr>
          <w:rFonts w:ascii="Times New Roman" w:hAnsi="Times New Roman"/>
          <w:szCs w:val="24"/>
        </w:rPr>
        <w:t xml:space="preserve"> at period </w:t>
      </w:r>
      <w:r w:rsidRPr="00B17D80">
        <w:rPr>
          <w:rFonts w:ascii="Times New Roman" w:hAnsi="Times New Roman"/>
          <w:position w:val="-6"/>
          <w:szCs w:val="24"/>
        </w:rPr>
        <w:object w:dxaOrig="139" w:dyaOrig="240">
          <v:shape id="_x0000_i1029" type="#_x0000_t75" style="width:6.5pt;height:12pt" o:ole="">
            <v:imagedata r:id="rId15" o:title=""/>
          </v:shape>
          <o:OLEObject Type="Embed" ProgID="Equation.3" ShapeID="_x0000_i1029" DrawAspect="Content" ObjectID="_1428410994" r:id="rId16"/>
        </w:object>
      </w:r>
      <w:r>
        <w:rPr>
          <w:rFonts w:ascii="Times New Roman" w:hAnsi="Times New Roman"/>
          <w:szCs w:val="24"/>
        </w:rPr>
        <w:t xml:space="preserve"> and the logarithmic lag income level (</w:t>
      </w:r>
      <w:r w:rsidRPr="002E649E">
        <w:rPr>
          <w:rFonts w:ascii="Times New Roman" w:hAnsi="Times New Roman"/>
          <w:position w:val="-14"/>
          <w:szCs w:val="24"/>
        </w:rPr>
        <w:object w:dxaOrig="700" w:dyaOrig="380">
          <v:shape id="_x0000_i1030" type="#_x0000_t75" style="width:35pt;height:19pt" o:ole="">
            <v:imagedata r:id="rId17" o:title=""/>
          </v:shape>
          <o:OLEObject Type="Embed" ProgID="Equation.3" ShapeID="_x0000_i1030" DrawAspect="Content" ObjectID="_1428410995" r:id="rId18"/>
        </w:object>
      </w:r>
      <w:r>
        <w:rPr>
          <w:rFonts w:ascii="Times New Roman" w:hAnsi="Times New Roman"/>
          <w:szCs w:val="24"/>
        </w:rPr>
        <w:t xml:space="preserve">) is the corresponding initial income level to test for the hypothesis of convergence. </w:t>
      </w:r>
      <w:r w:rsidRPr="00D860BF">
        <w:rPr>
          <w:rFonts w:ascii="Times New Roman" w:hAnsi="Times New Roman"/>
          <w:position w:val="-12"/>
          <w:szCs w:val="24"/>
        </w:rPr>
        <w:object w:dxaOrig="279" w:dyaOrig="360">
          <v:shape id="_x0000_i1031" type="#_x0000_t75" style="width:14.5pt;height:18pt" o:ole="">
            <v:imagedata r:id="rId19" o:title=""/>
          </v:shape>
          <o:OLEObject Type="Embed" ProgID="Equation.3" ShapeID="_x0000_i1031" DrawAspect="Content" ObjectID="_1428410996" r:id="rId20"/>
        </w:object>
      </w:r>
      <w:r>
        <w:rPr>
          <w:rFonts w:ascii="Times New Roman" w:hAnsi="Times New Roman"/>
          <w:szCs w:val="24"/>
        </w:rPr>
        <w:t xml:space="preserve"> </w:t>
      </w:r>
      <w:proofErr w:type="gramStart"/>
      <w:r>
        <w:rPr>
          <w:rFonts w:ascii="Times New Roman" w:hAnsi="Times New Roman"/>
          <w:szCs w:val="24"/>
        </w:rPr>
        <w:t>and</w:t>
      </w:r>
      <w:proofErr w:type="gramEnd"/>
      <w:r>
        <w:rPr>
          <w:rFonts w:ascii="Times New Roman" w:hAnsi="Times New Roman"/>
          <w:szCs w:val="24"/>
        </w:rPr>
        <w:t xml:space="preserve"> </w:t>
      </w:r>
      <w:r w:rsidRPr="00D860BF">
        <w:rPr>
          <w:rFonts w:ascii="Times New Roman" w:hAnsi="Times New Roman"/>
          <w:position w:val="-12"/>
          <w:szCs w:val="24"/>
        </w:rPr>
        <w:object w:dxaOrig="260" w:dyaOrig="360">
          <v:shape id="_x0000_i1032" type="#_x0000_t75" style="width:13pt;height:18pt" o:ole="">
            <v:imagedata r:id="rId21" o:title=""/>
          </v:shape>
          <o:OLEObject Type="Embed" ProgID="Equation.3" ShapeID="_x0000_i1032" DrawAspect="Content" ObjectID="_1428410997" r:id="rId22"/>
        </w:object>
      </w:r>
      <w:r>
        <w:rPr>
          <w:rFonts w:ascii="Times New Roman" w:hAnsi="Times New Roman"/>
          <w:szCs w:val="24"/>
        </w:rPr>
        <w:t xml:space="preserve">respectively represent the country fixed effects and year fixed effects that control for time-invariant country characteristics and global trends. The </w:t>
      </w:r>
      <w:proofErr w:type="gramStart"/>
      <w:r>
        <w:rPr>
          <w:rFonts w:ascii="Times New Roman" w:hAnsi="Times New Roman"/>
          <w:szCs w:val="24"/>
        </w:rPr>
        <w:t xml:space="preserve">variable </w:t>
      </w:r>
      <w:proofErr w:type="gramEnd"/>
      <w:r w:rsidRPr="002E649E">
        <w:rPr>
          <w:rFonts w:ascii="Times New Roman" w:hAnsi="Times New Roman"/>
          <w:position w:val="-14"/>
          <w:szCs w:val="24"/>
        </w:rPr>
        <w:object w:dxaOrig="580" w:dyaOrig="380">
          <v:shape id="_x0000_i1033" type="#_x0000_t75" style="width:29.5pt;height:19pt" o:ole="">
            <v:imagedata r:id="rId23" o:title=""/>
          </v:shape>
          <o:OLEObject Type="Embed" ProgID="Equation.3" ShapeID="_x0000_i1033" DrawAspect="Content" ObjectID="_1428410998" r:id="rId24"/>
        </w:object>
      </w:r>
      <w:r>
        <w:rPr>
          <w:rFonts w:ascii="Times New Roman" w:hAnsi="Times New Roman"/>
          <w:szCs w:val="24"/>
        </w:rPr>
        <w:t xml:space="preserve">, which is our main interest, is an dummy variable that takes the value one in the year when the capital market is open for foreigners and in the following years.  </w:t>
      </w:r>
    </w:p>
    <w:p w:rsidR="008B04E7" w:rsidRPr="00E66284" w:rsidRDefault="008B04E7" w:rsidP="0079476E">
      <w:pPr>
        <w:pStyle w:val="a9"/>
        <w:ind w:leftChars="0" w:left="0"/>
        <w:rPr>
          <w:rFonts w:ascii="Times New Roman" w:hAnsi="Times New Roman"/>
          <w:color w:val="FF0000"/>
          <w:szCs w:val="24"/>
        </w:rPr>
      </w:pPr>
      <w:r>
        <w:rPr>
          <w:rFonts w:ascii="Times New Roman" w:hAnsi="Times New Roman"/>
          <w:szCs w:val="24"/>
        </w:rPr>
        <w:t xml:space="preserve">The vector </w:t>
      </w:r>
      <w:r w:rsidRPr="002E649E">
        <w:rPr>
          <w:rFonts w:ascii="Times New Roman" w:hAnsi="Times New Roman"/>
          <w:position w:val="-14"/>
          <w:szCs w:val="24"/>
        </w:rPr>
        <w:object w:dxaOrig="540" w:dyaOrig="400">
          <v:shape id="_x0000_i1034" type="#_x0000_t75" style="width:27pt;height:20.5pt" o:ole="">
            <v:imagedata r:id="rId25" o:title=""/>
          </v:shape>
          <o:OLEObject Type="Embed" ProgID="Equation.3" ShapeID="_x0000_i1034" DrawAspect="Content" ObjectID="_1428410999" r:id="rId26"/>
        </w:object>
      </w:r>
      <w:r>
        <w:rPr>
          <w:rFonts w:ascii="Times New Roman" w:hAnsi="Times New Roman"/>
          <w:szCs w:val="24"/>
        </w:rPr>
        <w:t xml:space="preserve"> includes time-varying covariates, such as investment, government spending, inflation etc.  </w:t>
      </w:r>
      <w:r w:rsidRPr="00E66284">
        <w:rPr>
          <w:rFonts w:ascii="Times New Roman" w:hAnsi="Times New Roman"/>
          <w:color w:val="FF0000"/>
          <w:szCs w:val="24"/>
        </w:rPr>
        <w:t>(Emphasized the consideration of institutional factor)</w:t>
      </w:r>
    </w:p>
    <w:p w:rsidR="008B04E7" w:rsidRPr="005A4619" w:rsidRDefault="008B04E7" w:rsidP="0079476E">
      <w:pPr>
        <w:pStyle w:val="a9"/>
        <w:ind w:leftChars="0" w:left="0" w:firstLineChars="300" w:firstLine="720"/>
        <w:rPr>
          <w:rFonts w:ascii="Times New Roman" w:hAnsi="Times New Roman"/>
          <w:szCs w:val="24"/>
        </w:rPr>
      </w:pPr>
      <w:r>
        <w:rPr>
          <w:rFonts w:ascii="Times New Roman" w:hAnsi="Times New Roman"/>
          <w:szCs w:val="24"/>
        </w:rPr>
        <w:t xml:space="preserve">Equation (1) constitutes a difference-indifference model, in which countries that open their capital market to foreigners are the ‘treated’ group, while non-reforming countries, i.e., those countries that always open or always close their capital market, serve as the ‘control’ group. As the model includes the country and the year fixed-effects, the coefficient </w:t>
      </w:r>
      <w:r w:rsidRPr="0079476E">
        <w:rPr>
          <w:rFonts w:ascii="Times New Roman" w:hAnsi="Times New Roman"/>
          <w:position w:val="-10"/>
          <w:szCs w:val="24"/>
        </w:rPr>
        <w:object w:dxaOrig="200" w:dyaOrig="260">
          <v:shape id="_x0000_i1035" type="#_x0000_t75" style="width:10pt;height:13pt" o:ole="">
            <v:imagedata r:id="rId27" o:title=""/>
          </v:shape>
          <o:OLEObject Type="Embed" ProgID="Equation.3" ShapeID="_x0000_i1035" DrawAspect="Content" ObjectID="_1428411000" r:id="rId28"/>
        </w:object>
      </w:r>
      <w:r>
        <w:rPr>
          <w:rFonts w:ascii="Times New Roman" w:hAnsi="Times New Roman"/>
          <w:szCs w:val="24"/>
        </w:rPr>
        <w:t xml:space="preserve"> measures the annual growth effect of capital market opening in reforming countries compared to the general growth patterns in non-reforming countries.</w:t>
      </w:r>
    </w:p>
    <w:p w:rsidR="008B04E7" w:rsidRPr="0079476E" w:rsidRDefault="008B04E7" w:rsidP="008E4D01">
      <w:pPr>
        <w:pStyle w:val="a9"/>
        <w:ind w:leftChars="0" w:left="0" w:firstLineChars="300" w:firstLine="720"/>
        <w:rPr>
          <w:rFonts w:ascii="Times New Roman" w:hAnsi="Times New Roman"/>
          <w:szCs w:val="24"/>
        </w:rPr>
      </w:pPr>
      <w:r>
        <w:rPr>
          <w:rFonts w:ascii="Times New Roman" w:hAnsi="Times New Roman"/>
          <w:szCs w:val="24"/>
        </w:rPr>
        <w:t xml:space="preserve">As difference-in-difference estimators may exacerbate the downward bias in the standard errors arising from positive residual autocorrelation in the static models, we follow the proposal of Bertrand et al. (2004) and adjust standard errors based on generalized White-like formula by allowing for country-level clustered </w:t>
      </w:r>
      <w:proofErr w:type="spellStart"/>
      <w:r>
        <w:rPr>
          <w:rFonts w:ascii="Times New Roman" w:hAnsi="Times New Roman"/>
          <w:szCs w:val="24"/>
        </w:rPr>
        <w:t>heteroscadesticity</w:t>
      </w:r>
      <w:proofErr w:type="spellEnd"/>
      <w:r>
        <w:rPr>
          <w:rFonts w:ascii="Times New Roman" w:hAnsi="Times New Roman"/>
          <w:szCs w:val="24"/>
        </w:rPr>
        <w:t xml:space="preserve"> and autocorrelation. In addition, for later robustness check, we will further estimate dynamic panel versions of (1) to control for growth persistence and income level difference. </w:t>
      </w:r>
    </w:p>
    <w:p w:rsidR="008B04E7" w:rsidRDefault="008B04E7" w:rsidP="006418C2">
      <w:pPr>
        <w:pStyle w:val="a9"/>
        <w:ind w:leftChars="0" w:left="720"/>
        <w:rPr>
          <w:rFonts w:ascii="Times New Roman" w:hAnsi="Times New Roman"/>
          <w:szCs w:val="24"/>
        </w:rPr>
      </w:pPr>
      <w:r>
        <w:rPr>
          <w:rFonts w:ascii="Times New Roman" w:hAnsi="Times New Roman"/>
          <w:szCs w:val="24"/>
        </w:rPr>
        <w:t xml:space="preserve">         </w:t>
      </w:r>
    </w:p>
    <w:p w:rsidR="008B04E7" w:rsidRPr="005E3FE5" w:rsidRDefault="008B04E7" w:rsidP="00D06BCB">
      <w:pPr>
        <w:pStyle w:val="a9"/>
        <w:numPr>
          <w:ilvl w:val="0"/>
          <w:numId w:val="3"/>
        </w:numPr>
        <w:ind w:leftChars="0"/>
        <w:rPr>
          <w:rFonts w:ascii="Times New Roman" w:hAnsi="Times New Roman"/>
          <w:b/>
          <w:szCs w:val="24"/>
        </w:rPr>
      </w:pPr>
      <w:r w:rsidRPr="005E3FE5">
        <w:rPr>
          <w:rFonts w:ascii="Times New Roman" w:hAnsi="Times New Roman"/>
          <w:b/>
          <w:szCs w:val="24"/>
        </w:rPr>
        <w:lastRenderedPageBreak/>
        <w:t>Data</w:t>
      </w:r>
    </w:p>
    <w:p w:rsidR="008B04E7" w:rsidRDefault="008B04E7" w:rsidP="007B4A0E">
      <w:pPr>
        <w:pStyle w:val="a9"/>
        <w:ind w:leftChars="0" w:left="0" w:firstLineChars="200" w:firstLine="480"/>
        <w:rPr>
          <w:rFonts w:ascii="Times New Roman" w:hAnsi="Times New Roman"/>
          <w:color w:val="000000"/>
          <w:szCs w:val="24"/>
        </w:rPr>
      </w:pPr>
      <w:r w:rsidRPr="00284C8B">
        <w:rPr>
          <w:rFonts w:ascii="Times New Roman" w:eastAsia="CMR12" w:hAnsi="Times New Roman"/>
          <w:kern w:val="0"/>
          <w:szCs w:val="24"/>
        </w:rPr>
        <w:t xml:space="preserve">In this section, we will briefly describe the construction of the relevant variables and their original sources. </w:t>
      </w:r>
      <w:r w:rsidRPr="00284C8B">
        <w:rPr>
          <w:rFonts w:ascii="Times New Roman" w:hAnsi="Times New Roman"/>
          <w:kern w:val="0"/>
          <w:szCs w:val="24"/>
        </w:rPr>
        <w:t>First, w</w:t>
      </w:r>
      <w:r w:rsidRPr="00284C8B">
        <w:rPr>
          <w:rFonts w:ascii="Times New Roman" w:eastAsia="CMR12" w:hAnsi="Times New Roman"/>
          <w:kern w:val="0"/>
          <w:szCs w:val="24"/>
        </w:rPr>
        <w:t xml:space="preserve">e start with the most important variable in this paper -the indicator of financial liberalization. This variable corresponds to a date of formal regulatory change after which foreign investors officially have the opportunity to invest in domestic equity market and is based on </w:t>
      </w:r>
      <w:proofErr w:type="spellStart"/>
      <w:r w:rsidRPr="00284C8B">
        <w:rPr>
          <w:rFonts w:ascii="Times New Roman" w:eastAsia="CMR12" w:hAnsi="Times New Roman"/>
          <w:kern w:val="0"/>
          <w:szCs w:val="24"/>
        </w:rPr>
        <w:t>Bekaert</w:t>
      </w:r>
      <w:proofErr w:type="spellEnd"/>
      <w:r w:rsidRPr="00284C8B">
        <w:rPr>
          <w:rFonts w:ascii="Times New Roman" w:eastAsia="CMR12" w:hAnsi="Times New Roman"/>
          <w:kern w:val="0"/>
          <w:szCs w:val="24"/>
        </w:rPr>
        <w:t xml:space="preserve"> and Harvey’s (2002) “</w:t>
      </w:r>
      <w:r w:rsidRPr="00284C8B">
        <w:rPr>
          <w:rFonts w:ascii="Times New Roman" w:hAnsi="Times New Roman"/>
          <w:i/>
          <w:color w:val="000000"/>
          <w:szCs w:val="24"/>
        </w:rPr>
        <w:t>A Chronology of Important Financial, Economic and Political Events in Emerging Markets</w:t>
      </w:r>
      <w:r w:rsidRPr="00284C8B">
        <w:rPr>
          <w:rFonts w:ascii="Times New Roman" w:hAnsi="Times New Roman"/>
          <w:color w:val="000000"/>
          <w:szCs w:val="24"/>
        </w:rPr>
        <w:t>.</w:t>
      </w:r>
      <w:r w:rsidRPr="00284C8B">
        <w:rPr>
          <w:rFonts w:ascii="Times New Roman" w:hAnsi="Times New Roman"/>
          <w:i/>
          <w:color w:val="000000"/>
          <w:szCs w:val="24"/>
        </w:rPr>
        <w:t>”</w:t>
      </w:r>
      <w:r w:rsidRPr="00284C8B">
        <w:rPr>
          <w:rFonts w:ascii="Times New Roman" w:hAnsi="Times New Roman"/>
          <w:color w:val="000000"/>
          <w:szCs w:val="24"/>
        </w:rPr>
        <w:t xml:space="preserve">  With this dating information, we construct an indicator variable that takes the value of one when foreign investor can own the equity of a particular market and otherwise zero. Furthermore, for later robustness analyses, we employ an alternative measure of financial liberalization: First sign. This indicator is based on the earliest of three possibilities: a launching of country fund, an American Depositary Receipt (ADR) announcement, and an official liberalization. Again we establish a dummy variable corresponding to the earliest date of these three events.</w:t>
      </w:r>
      <w:r>
        <w:rPr>
          <w:rFonts w:ascii="Times New Roman" w:hAnsi="Times New Roman"/>
          <w:color w:val="000000"/>
          <w:szCs w:val="24"/>
        </w:rPr>
        <w:t xml:space="preserve"> </w:t>
      </w:r>
    </w:p>
    <w:p w:rsidR="008B04E7" w:rsidRPr="00284C8B" w:rsidRDefault="008B04E7" w:rsidP="007B4A0E">
      <w:pPr>
        <w:pStyle w:val="a9"/>
        <w:ind w:leftChars="0" w:left="0" w:firstLineChars="200" w:firstLine="480"/>
        <w:rPr>
          <w:rFonts w:ascii="Times New Roman" w:hAnsi="Times New Roman"/>
          <w:color w:val="000000"/>
          <w:szCs w:val="24"/>
        </w:rPr>
      </w:pPr>
    </w:p>
    <w:p w:rsidR="008B04E7" w:rsidRPr="00461F5F" w:rsidRDefault="008B04E7" w:rsidP="00461F5F">
      <w:pPr>
        <w:autoSpaceDE w:val="0"/>
        <w:autoSpaceDN w:val="0"/>
        <w:adjustRightInd w:val="0"/>
        <w:ind w:firstLineChars="250" w:firstLine="600"/>
        <w:rPr>
          <w:rFonts w:ascii="Times New Roman" w:hAnsi="Times New Roman"/>
          <w:color w:val="000000"/>
          <w:szCs w:val="24"/>
        </w:rPr>
      </w:pPr>
      <w:r w:rsidRPr="00284C8B">
        <w:rPr>
          <w:rFonts w:ascii="Times New Roman" w:hAnsi="Times New Roman"/>
          <w:color w:val="000000"/>
          <w:szCs w:val="24"/>
        </w:rPr>
        <w:t xml:space="preserve">Our dependent variable is the growth rate of real GDP per capita, which is defined as the annual logarithmic change of real per capita GDP. To account for testing the hypothesis of convergence, we also consider </w:t>
      </w:r>
      <w:r w:rsidRPr="00EA777D">
        <w:rPr>
          <w:rFonts w:ascii="Times New Roman" w:hAnsi="Times New Roman"/>
          <w:i/>
          <w:color w:val="000000"/>
          <w:szCs w:val="24"/>
        </w:rPr>
        <w:t>initial income</w:t>
      </w:r>
      <w:r w:rsidRPr="00284C8B">
        <w:rPr>
          <w:rFonts w:ascii="Times New Roman" w:hAnsi="Times New Roman"/>
          <w:color w:val="000000"/>
          <w:szCs w:val="24"/>
        </w:rPr>
        <w:t xml:space="preserve"> level, which is defined as the lagged (natural logarithm of) real per capita GDP. Other control</w:t>
      </w:r>
      <w:r>
        <w:rPr>
          <w:rFonts w:ascii="Times New Roman" w:hAnsi="Times New Roman"/>
          <w:color w:val="000000"/>
          <w:szCs w:val="24"/>
        </w:rPr>
        <w:t>s</w:t>
      </w:r>
      <w:r w:rsidRPr="00284C8B">
        <w:rPr>
          <w:rFonts w:ascii="Times New Roman" w:hAnsi="Times New Roman"/>
          <w:color w:val="000000"/>
          <w:szCs w:val="24"/>
        </w:rPr>
        <w:t xml:space="preserve"> include </w:t>
      </w:r>
      <w:r>
        <w:rPr>
          <w:rFonts w:ascii="Times New Roman" w:hAnsi="Times New Roman"/>
          <w:color w:val="000000"/>
          <w:szCs w:val="24"/>
        </w:rPr>
        <w:t xml:space="preserve">the following variables: </w:t>
      </w:r>
      <w:r w:rsidRPr="00461F5F">
        <w:rPr>
          <w:rFonts w:ascii="Times New Roman" w:hAnsi="Times New Roman"/>
          <w:i/>
          <w:color w:val="000000"/>
          <w:szCs w:val="24"/>
        </w:rPr>
        <w:t>investment</w:t>
      </w:r>
      <w:r w:rsidRPr="00284C8B">
        <w:rPr>
          <w:rFonts w:ascii="Times New Roman" w:hAnsi="Times New Roman"/>
          <w:color w:val="000000"/>
          <w:szCs w:val="24"/>
        </w:rPr>
        <w:t>, defined as the ratio of gross capital formation to annual GDP</w:t>
      </w:r>
      <w:r>
        <w:rPr>
          <w:rFonts w:ascii="Times New Roman" w:hAnsi="Times New Roman"/>
          <w:color w:val="000000"/>
          <w:szCs w:val="24"/>
        </w:rPr>
        <w:t xml:space="preserve">, </w:t>
      </w:r>
      <w:r w:rsidRPr="00461F5F">
        <w:rPr>
          <w:rFonts w:ascii="Times New Roman" w:hAnsi="Times New Roman"/>
          <w:i/>
          <w:color w:val="000000"/>
          <w:szCs w:val="24"/>
        </w:rPr>
        <w:t>government consumption</w:t>
      </w:r>
      <w:r w:rsidRPr="00284C8B">
        <w:rPr>
          <w:rFonts w:ascii="Times New Roman" w:hAnsi="Times New Roman"/>
          <w:color w:val="000000"/>
          <w:szCs w:val="24"/>
        </w:rPr>
        <w:t>, measured by general government consumption as a share of GDP</w:t>
      </w:r>
      <w:r>
        <w:rPr>
          <w:rFonts w:ascii="Times New Roman" w:hAnsi="Times New Roman"/>
          <w:color w:val="000000"/>
          <w:szCs w:val="24"/>
        </w:rPr>
        <w:t>,</w:t>
      </w:r>
      <w:r w:rsidRPr="00284C8B">
        <w:rPr>
          <w:rFonts w:ascii="Times New Roman" w:hAnsi="Times New Roman"/>
          <w:color w:val="000000"/>
          <w:szCs w:val="24"/>
        </w:rPr>
        <w:t xml:space="preserve"> </w:t>
      </w:r>
      <w:r w:rsidRPr="00461F5F">
        <w:rPr>
          <w:rFonts w:ascii="Times New Roman" w:hAnsi="Times New Roman"/>
          <w:i/>
          <w:color w:val="000000"/>
          <w:szCs w:val="24"/>
        </w:rPr>
        <w:t>schooling</w:t>
      </w:r>
      <w:r w:rsidRPr="00284C8B">
        <w:rPr>
          <w:rFonts w:ascii="Times New Roman" w:hAnsi="Times New Roman"/>
          <w:color w:val="000000"/>
          <w:szCs w:val="24"/>
        </w:rPr>
        <w:t xml:space="preserve">, measured as average years of schooling in the population aged 25 and above; </w:t>
      </w:r>
      <w:r w:rsidRPr="00461F5F">
        <w:rPr>
          <w:rFonts w:ascii="Times New Roman" w:hAnsi="Times New Roman"/>
          <w:i/>
          <w:color w:val="000000"/>
          <w:szCs w:val="24"/>
        </w:rPr>
        <w:t>inflation</w:t>
      </w:r>
      <w:r w:rsidRPr="00284C8B">
        <w:rPr>
          <w:rFonts w:ascii="Times New Roman" w:hAnsi="Times New Roman"/>
          <w:color w:val="000000"/>
          <w:szCs w:val="24"/>
        </w:rPr>
        <w:t xml:space="preserve">, </w:t>
      </w:r>
      <w:r w:rsidRPr="00284C8B">
        <w:rPr>
          <w:rFonts w:ascii="Times New Roman" w:eastAsia="CMR10" w:hAnsi="Times New Roman"/>
          <w:kern w:val="0"/>
          <w:szCs w:val="24"/>
        </w:rPr>
        <w:t>measured as log of one plus inflation rate</w:t>
      </w:r>
      <w:r>
        <w:rPr>
          <w:rFonts w:ascii="Times New Roman" w:eastAsia="CMR10" w:hAnsi="Times New Roman"/>
          <w:kern w:val="0"/>
          <w:szCs w:val="24"/>
        </w:rPr>
        <w:t xml:space="preserve">, </w:t>
      </w:r>
      <w:r w:rsidRPr="00461F5F">
        <w:rPr>
          <w:rFonts w:ascii="Times New Roman" w:eastAsia="CMR10" w:hAnsi="Times New Roman"/>
          <w:i/>
          <w:kern w:val="0"/>
          <w:szCs w:val="24"/>
        </w:rPr>
        <w:t>open to trade</w:t>
      </w:r>
      <w:r w:rsidRPr="00461F5F">
        <w:rPr>
          <w:rFonts w:ascii="Times New Roman" w:eastAsia="CMR10" w:hAnsi="Times New Roman"/>
          <w:kern w:val="0"/>
          <w:szCs w:val="24"/>
        </w:rPr>
        <w:t>, measured by log of imports plus exports</w:t>
      </w:r>
      <w:r>
        <w:rPr>
          <w:rFonts w:ascii="Times New Roman" w:eastAsia="CMR10" w:hAnsi="Times New Roman"/>
          <w:kern w:val="0"/>
          <w:szCs w:val="24"/>
        </w:rPr>
        <w:t xml:space="preserve"> </w:t>
      </w:r>
      <w:r w:rsidRPr="00461F5F">
        <w:rPr>
          <w:rFonts w:ascii="Times New Roman" w:eastAsia="CMR10" w:hAnsi="Times New Roman"/>
          <w:kern w:val="0"/>
          <w:szCs w:val="24"/>
        </w:rPr>
        <w:t>as a ratio of GDP</w:t>
      </w:r>
      <w:r>
        <w:rPr>
          <w:rFonts w:ascii="Times New Roman" w:eastAsia="CMR10" w:hAnsi="Times New Roman"/>
          <w:kern w:val="0"/>
          <w:szCs w:val="24"/>
        </w:rPr>
        <w:t xml:space="preserve">. </w:t>
      </w:r>
      <w:r w:rsidRPr="00461F5F">
        <w:rPr>
          <w:rFonts w:ascii="Times New Roman" w:eastAsia="CMR10" w:hAnsi="Times New Roman"/>
          <w:kern w:val="0"/>
          <w:szCs w:val="24"/>
        </w:rPr>
        <w:t>The original data to construct these variables are mostly taken from the World Development Indicators of World Bank, except</w:t>
      </w:r>
      <w:r>
        <w:rPr>
          <w:rFonts w:ascii="Times New Roman" w:eastAsia="CMR10" w:hAnsi="Times New Roman"/>
          <w:kern w:val="0"/>
          <w:szCs w:val="24"/>
        </w:rPr>
        <w:t xml:space="preserve"> the </w:t>
      </w:r>
      <w:r w:rsidRPr="00461F5F">
        <w:rPr>
          <w:rFonts w:ascii="Times New Roman" w:eastAsia="CMR10" w:hAnsi="Times New Roman"/>
          <w:i/>
          <w:kern w:val="0"/>
          <w:szCs w:val="24"/>
        </w:rPr>
        <w:t>school</w:t>
      </w:r>
      <w:r>
        <w:rPr>
          <w:rFonts w:ascii="Times New Roman" w:eastAsia="CMR10" w:hAnsi="Times New Roman"/>
          <w:i/>
          <w:kern w:val="0"/>
          <w:szCs w:val="24"/>
        </w:rPr>
        <w:t>ing</w:t>
      </w:r>
      <w:r>
        <w:rPr>
          <w:rFonts w:ascii="Times New Roman" w:eastAsia="CMR10" w:hAnsi="Times New Roman"/>
          <w:kern w:val="0"/>
          <w:szCs w:val="24"/>
        </w:rPr>
        <w:t xml:space="preserve"> variable, which is from </w:t>
      </w:r>
      <w:proofErr w:type="spellStart"/>
      <w:r>
        <w:rPr>
          <w:rFonts w:ascii="Times New Roman" w:eastAsia="CMR10" w:hAnsi="Times New Roman"/>
          <w:kern w:val="0"/>
          <w:szCs w:val="24"/>
        </w:rPr>
        <w:t>Barro</w:t>
      </w:r>
      <w:proofErr w:type="spellEnd"/>
      <w:r>
        <w:rPr>
          <w:rFonts w:ascii="Times New Roman" w:eastAsia="CMR10" w:hAnsi="Times New Roman"/>
          <w:kern w:val="0"/>
          <w:szCs w:val="24"/>
        </w:rPr>
        <w:t xml:space="preserve"> and Lee (2001).</w:t>
      </w:r>
      <w:r>
        <w:rPr>
          <w:rStyle w:val="a8"/>
          <w:rFonts w:ascii="Times New Roman" w:eastAsia="CMR10" w:hAnsi="Times New Roman"/>
          <w:kern w:val="0"/>
          <w:szCs w:val="24"/>
        </w:rPr>
        <w:footnoteReference w:id="2"/>
      </w:r>
    </w:p>
    <w:p w:rsidR="008B04E7" w:rsidRDefault="008B04E7" w:rsidP="009E0831">
      <w:pPr>
        <w:autoSpaceDE w:val="0"/>
        <w:autoSpaceDN w:val="0"/>
        <w:adjustRightInd w:val="0"/>
        <w:ind w:firstLineChars="250" w:firstLine="600"/>
        <w:rPr>
          <w:rFonts w:ascii="Times New Roman" w:hAnsi="Times New Roman"/>
          <w:kern w:val="0"/>
          <w:szCs w:val="24"/>
        </w:rPr>
      </w:pPr>
    </w:p>
    <w:p w:rsidR="008B04E7" w:rsidRDefault="008B04E7" w:rsidP="009E0831">
      <w:pPr>
        <w:autoSpaceDE w:val="0"/>
        <w:autoSpaceDN w:val="0"/>
        <w:adjustRightInd w:val="0"/>
        <w:ind w:firstLineChars="250" w:firstLine="600"/>
        <w:rPr>
          <w:rFonts w:ascii="Times New Roman" w:hAnsi="Times New Roman"/>
          <w:szCs w:val="24"/>
        </w:rPr>
      </w:pPr>
      <w:r>
        <w:rPr>
          <w:rFonts w:ascii="Times New Roman" w:hAnsi="Times New Roman"/>
          <w:kern w:val="0"/>
          <w:szCs w:val="24"/>
        </w:rPr>
        <w:t xml:space="preserve">For our research purpose, we also consider the quality of </w:t>
      </w:r>
      <w:r w:rsidRPr="00394301">
        <w:rPr>
          <w:rFonts w:ascii="Times New Roman" w:hAnsi="Times New Roman"/>
          <w:i/>
          <w:kern w:val="0"/>
          <w:szCs w:val="24"/>
        </w:rPr>
        <w:t>institutions</w:t>
      </w:r>
      <w:r>
        <w:rPr>
          <w:rFonts w:ascii="Times New Roman" w:hAnsi="Times New Roman"/>
          <w:kern w:val="0"/>
          <w:szCs w:val="24"/>
        </w:rPr>
        <w:t xml:space="preserve">, which is the sum of the International Country Risk Guide (ICRG) Political Risk subcomponents: </w:t>
      </w:r>
      <w:r w:rsidRPr="00525211">
        <w:rPr>
          <w:rFonts w:ascii="Times New Roman" w:hAnsi="Times New Roman"/>
          <w:i/>
          <w:kern w:val="0"/>
          <w:szCs w:val="24"/>
        </w:rPr>
        <w:t>corruption</w:t>
      </w:r>
      <w:r>
        <w:rPr>
          <w:rFonts w:ascii="Times New Roman" w:hAnsi="Times New Roman"/>
          <w:kern w:val="0"/>
          <w:szCs w:val="24"/>
        </w:rPr>
        <w:t xml:space="preserve">, </w:t>
      </w:r>
      <w:r w:rsidRPr="00525211">
        <w:rPr>
          <w:rFonts w:ascii="Times New Roman" w:hAnsi="Times New Roman"/>
          <w:i/>
          <w:kern w:val="0"/>
          <w:szCs w:val="24"/>
        </w:rPr>
        <w:t>bureaucracy</w:t>
      </w:r>
      <w:r>
        <w:rPr>
          <w:rFonts w:ascii="Times New Roman" w:hAnsi="Times New Roman"/>
          <w:kern w:val="0"/>
          <w:szCs w:val="24"/>
        </w:rPr>
        <w:t xml:space="preserve">, and </w:t>
      </w:r>
      <w:r w:rsidRPr="00525211">
        <w:rPr>
          <w:rFonts w:ascii="Times New Roman" w:hAnsi="Times New Roman"/>
          <w:i/>
          <w:kern w:val="0"/>
          <w:szCs w:val="24"/>
        </w:rPr>
        <w:t>law and order</w:t>
      </w:r>
      <w:r>
        <w:rPr>
          <w:rFonts w:ascii="Times New Roman" w:hAnsi="Times New Roman"/>
          <w:kern w:val="0"/>
          <w:szCs w:val="24"/>
        </w:rPr>
        <w:t xml:space="preserve">. Specifically, the variable of </w:t>
      </w:r>
      <w:r w:rsidRPr="00394301">
        <w:rPr>
          <w:rFonts w:ascii="Times New Roman" w:hAnsi="Times New Roman"/>
          <w:i/>
          <w:kern w:val="0"/>
          <w:szCs w:val="24"/>
        </w:rPr>
        <w:t>corruption</w:t>
      </w:r>
      <w:r>
        <w:rPr>
          <w:rFonts w:ascii="Times New Roman" w:hAnsi="Times New Roman"/>
          <w:kern w:val="0"/>
          <w:szCs w:val="24"/>
        </w:rPr>
        <w:t xml:space="preserve"> is an averaged ranking measure of corruption within the political system, with a high rating (6.0) indicating low degree of corruption and a low rating (1.0) indicating high potential corruption. </w:t>
      </w:r>
      <w:r w:rsidRPr="009F5AA3">
        <w:rPr>
          <w:rFonts w:ascii="Times New Roman" w:hAnsi="Times New Roman"/>
          <w:szCs w:val="24"/>
        </w:rPr>
        <w:t xml:space="preserve">The </w:t>
      </w:r>
      <w:r>
        <w:rPr>
          <w:rFonts w:ascii="Times New Roman" w:hAnsi="Times New Roman"/>
          <w:szCs w:val="24"/>
        </w:rPr>
        <w:t xml:space="preserve">variable of </w:t>
      </w:r>
      <w:r w:rsidRPr="009F5AA3">
        <w:rPr>
          <w:rFonts w:ascii="Times New Roman" w:hAnsi="Times New Roman"/>
          <w:i/>
          <w:kern w:val="0"/>
          <w:szCs w:val="24"/>
        </w:rPr>
        <w:t>bureaucracy</w:t>
      </w:r>
      <w:r w:rsidRPr="009F5AA3">
        <w:rPr>
          <w:rFonts w:ascii="Times New Roman" w:hAnsi="Times New Roman"/>
          <w:szCs w:val="24"/>
        </w:rPr>
        <w:t xml:space="preserve"> </w:t>
      </w:r>
      <w:r>
        <w:rPr>
          <w:rFonts w:ascii="Times New Roman" w:hAnsi="Times New Roman"/>
          <w:szCs w:val="24"/>
        </w:rPr>
        <w:t xml:space="preserve">is a rating system of </w:t>
      </w:r>
      <w:r w:rsidRPr="009F5AA3">
        <w:rPr>
          <w:rFonts w:ascii="Times New Roman" w:hAnsi="Times New Roman"/>
          <w:szCs w:val="24"/>
        </w:rPr>
        <w:t>institutional strength and quality of the bureaucracy</w:t>
      </w:r>
      <w:r>
        <w:rPr>
          <w:rFonts w:ascii="Times New Roman" w:hAnsi="Times New Roman"/>
          <w:szCs w:val="24"/>
        </w:rPr>
        <w:t>. The range of the rating is between one to four points and h</w:t>
      </w:r>
      <w:r w:rsidRPr="009F5AA3">
        <w:rPr>
          <w:rFonts w:ascii="Times New Roman" w:hAnsi="Times New Roman"/>
          <w:szCs w:val="24"/>
        </w:rPr>
        <w:t xml:space="preserve">igh points </w:t>
      </w:r>
      <w:r>
        <w:rPr>
          <w:rFonts w:ascii="Times New Roman" w:hAnsi="Times New Roman"/>
          <w:szCs w:val="24"/>
        </w:rPr>
        <w:t>are</w:t>
      </w:r>
      <w:r w:rsidRPr="009F5AA3">
        <w:rPr>
          <w:rFonts w:ascii="Times New Roman" w:hAnsi="Times New Roman"/>
          <w:szCs w:val="24"/>
        </w:rPr>
        <w:t xml:space="preserve"> given to countries where the bureaucracy has the strength and expertise to govern without drastic changes in policy or interruptions in government services. </w:t>
      </w:r>
      <w:r>
        <w:rPr>
          <w:rFonts w:ascii="Times New Roman" w:hAnsi="Times New Roman"/>
          <w:szCs w:val="24"/>
        </w:rPr>
        <w:t xml:space="preserve">The variable of </w:t>
      </w:r>
      <w:r w:rsidRPr="009F5AA3">
        <w:rPr>
          <w:rFonts w:ascii="Times New Roman" w:hAnsi="Times New Roman"/>
          <w:i/>
          <w:szCs w:val="24"/>
        </w:rPr>
        <w:t>law and order</w:t>
      </w:r>
      <w:r w:rsidRPr="009F5AA3">
        <w:rPr>
          <w:rFonts w:ascii="Times New Roman" w:hAnsi="Times New Roman"/>
          <w:szCs w:val="24"/>
        </w:rPr>
        <w:t xml:space="preserve"> </w:t>
      </w:r>
      <w:r>
        <w:rPr>
          <w:rFonts w:ascii="Times New Roman" w:hAnsi="Times New Roman"/>
          <w:szCs w:val="24"/>
        </w:rPr>
        <w:t>assess</w:t>
      </w:r>
      <w:r w:rsidRPr="009F5AA3">
        <w:rPr>
          <w:rFonts w:ascii="Times New Roman" w:hAnsi="Times New Roman"/>
          <w:szCs w:val="24"/>
        </w:rPr>
        <w:t xml:space="preserve"> </w:t>
      </w:r>
      <w:r>
        <w:rPr>
          <w:rFonts w:ascii="Times New Roman" w:hAnsi="Times New Roman"/>
          <w:szCs w:val="24"/>
        </w:rPr>
        <w:t xml:space="preserve">Law and Order </w:t>
      </w:r>
      <w:r w:rsidRPr="009F5AA3">
        <w:rPr>
          <w:rFonts w:ascii="Times New Roman" w:hAnsi="Times New Roman"/>
          <w:szCs w:val="24"/>
        </w:rPr>
        <w:t xml:space="preserve">separately, with </w:t>
      </w:r>
      <w:r>
        <w:rPr>
          <w:rFonts w:ascii="Times New Roman" w:hAnsi="Times New Roman"/>
          <w:szCs w:val="24"/>
        </w:rPr>
        <w:t>each subcomponent comprising zero to three points. Overall, a country can enjoy a high rating (6.0) in terms of its judicial system, but a low rating (1.0) if t</w:t>
      </w:r>
      <w:r w:rsidRPr="009F5AA3">
        <w:rPr>
          <w:rFonts w:ascii="Times New Roman" w:hAnsi="Times New Roman"/>
          <w:szCs w:val="24"/>
        </w:rPr>
        <w:t xml:space="preserve">he </w:t>
      </w:r>
      <w:r>
        <w:rPr>
          <w:rFonts w:ascii="Times New Roman" w:hAnsi="Times New Roman"/>
          <w:szCs w:val="24"/>
        </w:rPr>
        <w:t>l</w:t>
      </w:r>
      <w:r w:rsidRPr="009F5AA3">
        <w:rPr>
          <w:rFonts w:ascii="Times New Roman" w:hAnsi="Times New Roman"/>
          <w:szCs w:val="24"/>
        </w:rPr>
        <w:t>aw</w:t>
      </w:r>
      <w:r>
        <w:rPr>
          <w:rFonts w:ascii="Times New Roman" w:hAnsi="Times New Roman"/>
          <w:szCs w:val="24"/>
        </w:rPr>
        <w:t xml:space="preserve"> is ignored for a political aim. </w:t>
      </w:r>
    </w:p>
    <w:p w:rsidR="008B04E7" w:rsidRDefault="008B04E7" w:rsidP="007B4A0E">
      <w:pPr>
        <w:pStyle w:val="a9"/>
        <w:ind w:leftChars="0" w:left="0" w:firstLineChars="200" w:firstLine="480"/>
        <w:rPr>
          <w:rFonts w:ascii="Times New Roman" w:hAnsi="Times New Roman"/>
          <w:kern w:val="0"/>
          <w:szCs w:val="24"/>
        </w:rPr>
      </w:pPr>
    </w:p>
    <w:p w:rsidR="008B04E7" w:rsidRPr="00CE0999" w:rsidRDefault="008B04E7" w:rsidP="007B4A0E">
      <w:pPr>
        <w:pStyle w:val="a9"/>
        <w:ind w:leftChars="0" w:left="0" w:firstLineChars="200" w:firstLine="480"/>
        <w:rPr>
          <w:rFonts w:ascii="Times New Roman" w:hAnsi="Times New Roman"/>
          <w:szCs w:val="24"/>
        </w:rPr>
      </w:pPr>
      <w:r w:rsidRPr="00284C8B">
        <w:rPr>
          <w:rFonts w:ascii="Times New Roman" w:eastAsia="CMR12" w:hAnsi="Times New Roman"/>
          <w:kern w:val="0"/>
          <w:szCs w:val="24"/>
        </w:rPr>
        <w:lastRenderedPageBreak/>
        <w:t xml:space="preserve">Ultimately, our full sample contains </w:t>
      </w:r>
      <w:r w:rsidR="009642AA">
        <w:rPr>
          <w:rFonts w:ascii="Times New Roman" w:eastAsiaTheme="minorEastAsia" w:hAnsi="Times New Roman" w:hint="eastAsia"/>
          <w:kern w:val="0"/>
          <w:szCs w:val="24"/>
        </w:rPr>
        <w:t>88</w:t>
      </w:r>
      <w:r w:rsidRPr="00284C8B">
        <w:rPr>
          <w:rFonts w:ascii="Times New Roman" w:eastAsia="CMR12" w:hAnsi="Times New Roman"/>
          <w:kern w:val="0"/>
          <w:szCs w:val="24"/>
        </w:rPr>
        <w:t xml:space="preserve"> countries, </w:t>
      </w:r>
      <w:r>
        <w:rPr>
          <w:rFonts w:ascii="Times New Roman" w:hAnsi="Times New Roman"/>
          <w:kern w:val="0"/>
          <w:szCs w:val="24"/>
        </w:rPr>
        <w:t xml:space="preserve">in which </w:t>
      </w:r>
      <w:r w:rsidRPr="00284C8B">
        <w:rPr>
          <w:rFonts w:ascii="Times New Roman" w:eastAsia="CMR12" w:hAnsi="Times New Roman"/>
          <w:kern w:val="0"/>
          <w:szCs w:val="24"/>
        </w:rPr>
        <w:t>2</w:t>
      </w:r>
      <w:r w:rsidR="009642AA">
        <w:rPr>
          <w:rFonts w:ascii="Times New Roman" w:eastAsiaTheme="minorEastAsia" w:hAnsi="Times New Roman" w:hint="eastAsia"/>
          <w:kern w:val="0"/>
          <w:szCs w:val="24"/>
        </w:rPr>
        <w:t>1</w:t>
      </w:r>
      <w:r w:rsidRPr="00284C8B">
        <w:rPr>
          <w:rFonts w:ascii="Times New Roman" w:eastAsia="CMR12" w:hAnsi="Times New Roman"/>
          <w:kern w:val="0"/>
          <w:szCs w:val="24"/>
        </w:rPr>
        <w:t xml:space="preserve"> </w:t>
      </w:r>
      <w:r>
        <w:rPr>
          <w:rFonts w:ascii="Times New Roman" w:hAnsi="Times New Roman"/>
          <w:kern w:val="0"/>
          <w:szCs w:val="24"/>
        </w:rPr>
        <w:t xml:space="preserve">countries are grouped as </w:t>
      </w:r>
      <w:r w:rsidRPr="00284C8B">
        <w:rPr>
          <w:rFonts w:ascii="Times New Roman" w:eastAsia="CMR12" w:hAnsi="Times New Roman"/>
          <w:kern w:val="0"/>
          <w:szCs w:val="24"/>
        </w:rPr>
        <w:t xml:space="preserve">developed </w:t>
      </w:r>
      <w:r>
        <w:rPr>
          <w:rFonts w:ascii="Times New Roman" w:hAnsi="Times New Roman"/>
          <w:kern w:val="0"/>
          <w:szCs w:val="24"/>
        </w:rPr>
        <w:t>economies</w:t>
      </w:r>
      <w:r w:rsidRPr="00284C8B">
        <w:rPr>
          <w:rFonts w:ascii="Times New Roman" w:eastAsia="CMR12" w:hAnsi="Times New Roman"/>
          <w:kern w:val="0"/>
          <w:szCs w:val="24"/>
        </w:rPr>
        <w:t xml:space="preserve"> and 6</w:t>
      </w:r>
      <w:r w:rsidR="009642AA">
        <w:rPr>
          <w:rFonts w:ascii="Times New Roman" w:eastAsiaTheme="minorEastAsia" w:hAnsi="Times New Roman" w:hint="eastAsia"/>
          <w:kern w:val="0"/>
          <w:szCs w:val="24"/>
        </w:rPr>
        <w:t>7</w:t>
      </w:r>
      <w:r w:rsidRPr="00284C8B">
        <w:rPr>
          <w:rFonts w:ascii="Times New Roman" w:eastAsia="CMR12" w:hAnsi="Times New Roman"/>
          <w:kern w:val="0"/>
          <w:szCs w:val="24"/>
        </w:rPr>
        <w:t xml:space="preserve"> </w:t>
      </w:r>
      <w:r>
        <w:rPr>
          <w:rFonts w:ascii="Times New Roman" w:hAnsi="Times New Roman"/>
          <w:kern w:val="0"/>
          <w:szCs w:val="24"/>
        </w:rPr>
        <w:t xml:space="preserve">countries are defined as </w:t>
      </w:r>
      <w:r w:rsidRPr="00284C8B">
        <w:rPr>
          <w:rFonts w:ascii="Times New Roman" w:eastAsia="CMR12" w:hAnsi="Times New Roman"/>
          <w:kern w:val="0"/>
          <w:szCs w:val="24"/>
        </w:rPr>
        <w:t>developing economies.</w:t>
      </w:r>
      <w:r>
        <w:rPr>
          <w:rStyle w:val="a8"/>
          <w:rFonts w:ascii="Times New Roman" w:eastAsia="CMR12" w:hAnsi="Times New Roman"/>
          <w:kern w:val="0"/>
          <w:szCs w:val="24"/>
        </w:rPr>
        <w:footnoteReference w:id="3"/>
      </w:r>
      <w:r w:rsidRPr="00284C8B">
        <w:rPr>
          <w:rFonts w:ascii="Times New Roman" w:eastAsia="CMR12" w:hAnsi="Times New Roman"/>
          <w:kern w:val="0"/>
          <w:szCs w:val="24"/>
        </w:rPr>
        <w:t xml:space="preserve"> </w:t>
      </w:r>
      <w:r>
        <w:rPr>
          <w:rFonts w:ascii="Times New Roman" w:hAnsi="Times New Roman"/>
          <w:kern w:val="0"/>
          <w:szCs w:val="24"/>
        </w:rPr>
        <w:t xml:space="preserve">Details about the sample countries and their corresponding date of financial liberalization please refer to Appendix. </w:t>
      </w:r>
    </w:p>
    <w:p w:rsidR="008B04E7" w:rsidRPr="0095363F" w:rsidRDefault="008B04E7" w:rsidP="009E0831">
      <w:pPr>
        <w:autoSpaceDE w:val="0"/>
        <w:autoSpaceDN w:val="0"/>
        <w:adjustRightInd w:val="0"/>
        <w:ind w:firstLineChars="250" w:firstLine="600"/>
        <w:rPr>
          <w:rFonts w:ascii="Times New Roman" w:hAnsi="Times New Roman"/>
          <w:kern w:val="0"/>
          <w:szCs w:val="24"/>
        </w:rPr>
      </w:pPr>
    </w:p>
    <w:p w:rsidR="008B04E7" w:rsidRPr="005E3FE5" w:rsidRDefault="008B04E7" w:rsidP="00D06BCB">
      <w:pPr>
        <w:pStyle w:val="a9"/>
        <w:numPr>
          <w:ilvl w:val="0"/>
          <w:numId w:val="3"/>
        </w:numPr>
        <w:ind w:leftChars="0"/>
        <w:rPr>
          <w:rFonts w:ascii="Times New Roman" w:hAnsi="Times New Roman"/>
          <w:b/>
          <w:szCs w:val="24"/>
        </w:rPr>
      </w:pPr>
      <w:r w:rsidRPr="005E3FE5">
        <w:rPr>
          <w:rFonts w:ascii="Times New Roman" w:hAnsi="Times New Roman"/>
          <w:b/>
          <w:szCs w:val="24"/>
        </w:rPr>
        <w:t>Results</w:t>
      </w:r>
    </w:p>
    <w:p w:rsidR="008B04E7" w:rsidRPr="005E3FE5" w:rsidRDefault="008B04E7" w:rsidP="00D06BCB">
      <w:pPr>
        <w:pStyle w:val="a9"/>
        <w:numPr>
          <w:ilvl w:val="1"/>
          <w:numId w:val="3"/>
        </w:numPr>
        <w:ind w:leftChars="0"/>
        <w:rPr>
          <w:rFonts w:ascii="Times New Roman" w:hAnsi="Times New Roman"/>
          <w:b/>
          <w:szCs w:val="24"/>
        </w:rPr>
      </w:pPr>
      <w:r w:rsidRPr="005E3FE5">
        <w:rPr>
          <w:rFonts w:ascii="Times New Roman" w:hAnsi="Times New Roman"/>
          <w:b/>
          <w:szCs w:val="24"/>
        </w:rPr>
        <w:t>Results for the full sample case</w:t>
      </w:r>
    </w:p>
    <w:p w:rsidR="008B04E7" w:rsidRDefault="008B04E7" w:rsidP="0095363F">
      <w:pPr>
        <w:rPr>
          <w:rFonts w:ascii="Times New Roman" w:hAnsi="Times New Roman"/>
          <w:szCs w:val="24"/>
        </w:rPr>
      </w:pPr>
      <w:r>
        <w:rPr>
          <w:rFonts w:ascii="Times New Roman" w:hAnsi="Times New Roman"/>
          <w:szCs w:val="24"/>
        </w:rPr>
        <w:t xml:space="preserve">For comparison purpose, we first assess the unconditional effect of financial liberalization on growth by estimating regression (1) with time effect, fixed effect and both fixed and time effects (difference- in-difference model) to all countries included in our sample (the full sample). Essentially, the regression identifies the annual per capita GDP growth post- versus pre- liberalization, respectively or simultaneously controlling for country-specific time in-variant growth conditions and global business cycle effects. Furthermore, we also include initial income (lagged level of per capita GDP) in line with the exogenous growth theory to test the ‘catch up’ effect and the estimate results are reported in columns (1) – (3) in Table 1. </w:t>
      </w:r>
    </w:p>
    <w:p w:rsidR="008B04E7" w:rsidRDefault="008B04E7" w:rsidP="0095363F">
      <w:pPr>
        <w:rPr>
          <w:rFonts w:ascii="Times New Roman" w:hAnsi="Times New Roman"/>
          <w:szCs w:val="24"/>
        </w:rPr>
      </w:pPr>
      <w:r>
        <w:rPr>
          <w:rFonts w:ascii="Times New Roman" w:hAnsi="Times New Roman"/>
          <w:szCs w:val="24"/>
        </w:rPr>
        <w:t xml:space="preserve">     In column (1) we control for global shocks adding time fixed-effects (</w:t>
      </w:r>
      <w:r w:rsidRPr="000D04BB">
        <w:rPr>
          <w:rFonts w:ascii="Times New Roman" w:hAnsi="Times New Roman"/>
          <w:position w:val="-12"/>
          <w:szCs w:val="24"/>
        </w:rPr>
        <w:object w:dxaOrig="240" w:dyaOrig="360">
          <v:shape id="_x0000_i1036" type="#_x0000_t75" style="width:12pt;height:18pt" o:ole="">
            <v:imagedata r:id="rId29" o:title=""/>
          </v:shape>
          <o:OLEObject Type="Embed" ProgID="Equation.3" ShapeID="_x0000_i1036" DrawAspect="Content" ObjectID="_1428411001" r:id="rId30"/>
        </w:object>
      </w:r>
      <w:r>
        <w:rPr>
          <w:rFonts w:ascii="Times New Roman" w:hAnsi="Times New Roman"/>
          <w:szCs w:val="24"/>
        </w:rPr>
        <w:t xml:space="preserve">). The coefficient on the financial liberalization indicator is 0.012 and statistically significant at the 1% level, indicating that countries which liberalize their capital market will possess 1.2% higher growth rate than those non-liberalizing countries. However, the coefficient on </w:t>
      </w:r>
      <w:r w:rsidRPr="00516F2E">
        <w:rPr>
          <w:rFonts w:ascii="Times New Roman" w:hAnsi="Times New Roman"/>
          <w:i/>
          <w:szCs w:val="24"/>
        </w:rPr>
        <w:t xml:space="preserve">initial income </w:t>
      </w:r>
      <w:r>
        <w:rPr>
          <w:rFonts w:ascii="Times New Roman" w:hAnsi="Times New Roman"/>
          <w:szCs w:val="24"/>
        </w:rPr>
        <w:t>is positive and not statistically at any significance level, thus providing no evidence of convergence in per capita GDP. In column (2) we isolate the within effect of financial liberalization by adding a vector of country dummies (</w:t>
      </w:r>
      <w:r w:rsidRPr="000D04BB">
        <w:rPr>
          <w:rFonts w:ascii="Times New Roman" w:hAnsi="Times New Roman"/>
          <w:position w:val="-12"/>
          <w:szCs w:val="24"/>
        </w:rPr>
        <w:object w:dxaOrig="260" w:dyaOrig="360">
          <v:shape id="_x0000_i1037" type="#_x0000_t75" style="width:13pt;height:18pt" o:ole="">
            <v:imagedata r:id="rId31" o:title=""/>
          </v:shape>
          <o:OLEObject Type="Embed" ProgID="Equation.3" ShapeID="_x0000_i1037" DrawAspect="Content" ObjectID="_1428411002" r:id="rId32"/>
        </w:object>
      </w:r>
      <w:r>
        <w:rPr>
          <w:rFonts w:ascii="Times New Roman" w:hAnsi="Times New Roman"/>
          <w:szCs w:val="24"/>
        </w:rPr>
        <w:t>). It can be seen that as we consider the variation within countries, the estimate coefficient on financial liberalization is twice lager than the estimate from time fixed-effect model and also statistically significant at the 1% level. Furthermore, the estimated coefficient on initial income is negative and statistically significant at the 1% level, lending strong support for the ‘catch up’ effect. The difference-in-difference coefficient in model (3) where we control for both country and year fixed- effects implies an average growth effect of financial liberalization of approximately 1.1%. The coefficient is statistically different from zero at the 1% significance level.</w:t>
      </w:r>
    </w:p>
    <w:p w:rsidR="008B04E7" w:rsidRDefault="008B04E7" w:rsidP="0095363F">
      <w:pPr>
        <w:rPr>
          <w:rFonts w:ascii="Times New Roman" w:hAnsi="Times New Roman"/>
          <w:szCs w:val="24"/>
        </w:rPr>
      </w:pPr>
      <w:r>
        <w:rPr>
          <w:rFonts w:ascii="Times New Roman" w:hAnsi="Times New Roman"/>
          <w:szCs w:val="24"/>
        </w:rPr>
        <w:t xml:space="preserve">     As the empirical literature has considered numerous variables to explain cross-country growth difference, in column (4) of Table 1 we report the results of the conditional difference-in-difference models that control for standard growth covariates. By so doing, we can explore whether the significant effect of financial liberalization documented in the unconditional models still retained when other growth covariates such as capital accumulation </w:t>
      </w:r>
      <w:r w:rsidRPr="002E3753">
        <w:rPr>
          <w:rFonts w:ascii="Times New Roman" w:hAnsi="Times New Roman"/>
          <w:szCs w:val="24"/>
        </w:rPr>
        <w:t>(</w:t>
      </w:r>
      <w:r w:rsidRPr="002E3753">
        <w:rPr>
          <w:rFonts w:ascii="Times New Roman" w:hAnsi="Times New Roman"/>
          <w:i/>
          <w:szCs w:val="24"/>
        </w:rPr>
        <w:t>investment</w:t>
      </w:r>
      <w:r w:rsidRPr="002E3753">
        <w:rPr>
          <w:rFonts w:ascii="Times New Roman" w:hAnsi="Times New Roman"/>
          <w:szCs w:val="24"/>
        </w:rPr>
        <w:t>)</w:t>
      </w:r>
      <w:r>
        <w:rPr>
          <w:rFonts w:ascii="Times New Roman" w:hAnsi="Times New Roman"/>
          <w:szCs w:val="24"/>
        </w:rPr>
        <w:t>, sound government</w:t>
      </w:r>
      <w:r w:rsidRPr="002E3753">
        <w:rPr>
          <w:rFonts w:ascii="Times New Roman" w:hAnsi="Times New Roman"/>
          <w:szCs w:val="24"/>
        </w:rPr>
        <w:t xml:space="preserve"> (</w:t>
      </w:r>
      <w:r w:rsidRPr="002E3753">
        <w:rPr>
          <w:rFonts w:ascii="Times New Roman" w:hAnsi="Times New Roman"/>
          <w:i/>
          <w:szCs w:val="24"/>
        </w:rPr>
        <w:t>government consumption</w:t>
      </w:r>
      <w:r w:rsidRPr="002E3753">
        <w:rPr>
          <w:rFonts w:ascii="Times New Roman" w:hAnsi="Times New Roman"/>
          <w:szCs w:val="24"/>
        </w:rPr>
        <w:t>)</w:t>
      </w:r>
      <w:r>
        <w:rPr>
          <w:rFonts w:ascii="Times New Roman" w:hAnsi="Times New Roman"/>
          <w:szCs w:val="24"/>
        </w:rPr>
        <w:t xml:space="preserve">, human capital accumulation </w:t>
      </w:r>
      <w:r w:rsidRPr="002E3753">
        <w:rPr>
          <w:rFonts w:ascii="Times New Roman" w:hAnsi="Times New Roman"/>
          <w:szCs w:val="24"/>
        </w:rPr>
        <w:t>(</w:t>
      </w:r>
      <w:r w:rsidRPr="002E3753">
        <w:rPr>
          <w:rFonts w:ascii="Times New Roman" w:hAnsi="Times New Roman"/>
          <w:i/>
          <w:szCs w:val="24"/>
        </w:rPr>
        <w:t>schooling</w:t>
      </w:r>
      <w:r w:rsidRPr="002E3753">
        <w:rPr>
          <w:rFonts w:ascii="Times New Roman" w:hAnsi="Times New Roman"/>
          <w:szCs w:val="24"/>
        </w:rPr>
        <w:t>)</w:t>
      </w:r>
      <w:r>
        <w:rPr>
          <w:rFonts w:ascii="Times New Roman" w:hAnsi="Times New Roman"/>
          <w:szCs w:val="24"/>
        </w:rPr>
        <w:t>, effectiveness of monetary policy (</w:t>
      </w:r>
      <w:r w:rsidRPr="00613D65">
        <w:rPr>
          <w:rFonts w:ascii="Times New Roman" w:hAnsi="Times New Roman"/>
          <w:i/>
          <w:szCs w:val="24"/>
        </w:rPr>
        <w:t>inflation</w:t>
      </w:r>
      <w:r>
        <w:rPr>
          <w:rFonts w:ascii="Times New Roman" w:hAnsi="Times New Roman"/>
          <w:szCs w:val="24"/>
        </w:rPr>
        <w:t xml:space="preserve"> ) and trade policy </w:t>
      </w:r>
      <w:r w:rsidRPr="002E3753">
        <w:rPr>
          <w:rFonts w:ascii="Times New Roman" w:hAnsi="Times New Roman"/>
          <w:szCs w:val="24"/>
        </w:rPr>
        <w:t>(</w:t>
      </w:r>
      <w:r w:rsidRPr="002E3753">
        <w:rPr>
          <w:rFonts w:ascii="Times New Roman" w:hAnsi="Times New Roman"/>
          <w:i/>
          <w:szCs w:val="24"/>
        </w:rPr>
        <w:t>openness to trade</w:t>
      </w:r>
      <w:r w:rsidRPr="002E3753">
        <w:rPr>
          <w:rFonts w:ascii="Times New Roman" w:hAnsi="Times New Roman"/>
          <w:szCs w:val="24"/>
        </w:rPr>
        <w:t>)</w:t>
      </w:r>
      <w:r>
        <w:rPr>
          <w:rFonts w:ascii="Times New Roman" w:hAnsi="Times New Roman"/>
          <w:szCs w:val="24"/>
        </w:rPr>
        <w:t xml:space="preserve"> are simultaneously considered. It can be seen that even with these standard growth covariate jointly controlled, the coefficient on financial liberalization retains significance at the 5% level, implying a short-run annual growth effect of 0.9%. </w:t>
      </w:r>
      <w:r>
        <w:rPr>
          <w:rFonts w:ascii="Times New Roman" w:hAnsi="Times New Roman"/>
          <w:szCs w:val="24"/>
        </w:rPr>
        <w:lastRenderedPageBreak/>
        <w:t>In addition, the model in column (4) of Table 1 shows that openness to trade enters with a significant positive estimate, while both government consumption and inflation enter with a significantly negative coefficient. On the other hand, the coefficient on human capital proxy (</w:t>
      </w:r>
      <w:r w:rsidRPr="006900D3">
        <w:rPr>
          <w:rFonts w:ascii="Times New Roman" w:hAnsi="Times New Roman"/>
          <w:i/>
          <w:szCs w:val="24"/>
        </w:rPr>
        <w:t>schooling</w:t>
      </w:r>
      <w:r>
        <w:rPr>
          <w:rFonts w:ascii="Times New Roman" w:hAnsi="Times New Roman"/>
          <w:szCs w:val="24"/>
        </w:rPr>
        <w:t xml:space="preserve">) is insignificant. Although this is not supportive of growth models stressing human capital, it is in line with panel studies revealing weak within correlations between schooling and growth (Kruger and </w:t>
      </w:r>
      <w:proofErr w:type="spellStart"/>
      <w:r>
        <w:rPr>
          <w:rFonts w:ascii="Times New Roman" w:hAnsi="Times New Roman"/>
          <w:szCs w:val="24"/>
        </w:rPr>
        <w:t>Lindahl</w:t>
      </w:r>
      <w:proofErr w:type="spellEnd"/>
      <w:r>
        <w:rPr>
          <w:rFonts w:ascii="Times New Roman" w:hAnsi="Times New Roman"/>
          <w:szCs w:val="24"/>
        </w:rPr>
        <w:t xml:space="preserve">, 2001). </w:t>
      </w:r>
    </w:p>
    <w:p w:rsidR="008B04E7" w:rsidRDefault="008B04E7" w:rsidP="0095363F">
      <w:pPr>
        <w:rPr>
          <w:rFonts w:ascii="Times New Roman" w:hAnsi="Times New Roman"/>
          <w:szCs w:val="24"/>
        </w:rPr>
      </w:pPr>
    </w:p>
    <w:p w:rsidR="008B04E7" w:rsidRPr="005E3FE5" w:rsidRDefault="008B04E7" w:rsidP="00D501C0">
      <w:pPr>
        <w:pStyle w:val="a9"/>
        <w:numPr>
          <w:ilvl w:val="1"/>
          <w:numId w:val="3"/>
        </w:numPr>
        <w:ind w:leftChars="0"/>
        <w:rPr>
          <w:rFonts w:ascii="Times New Roman" w:hAnsi="Times New Roman"/>
          <w:b/>
          <w:szCs w:val="24"/>
        </w:rPr>
      </w:pPr>
      <w:r w:rsidRPr="005E3FE5">
        <w:rPr>
          <w:rFonts w:ascii="Times New Roman" w:hAnsi="Times New Roman"/>
          <w:b/>
          <w:szCs w:val="24"/>
        </w:rPr>
        <w:t xml:space="preserve">Results for the </w:t>
      </w:r>
      <w:r>
        <w:rPr>
          <w:rFonts w:ascii="Times New Roman" w:hAnsi="Times New Roman"/>
          <w:b/>
          <w:szCs w:val="24"/>
        </w:rPr>
        <w:t>sub</w:t>
      </w:r>
      <w:r w:rsidRPr="005E3FE5">
        <w:rPr>
          <w:rFonts w:ascii="Times New Roman" w:hAnsi="Times New Roman"/>
          <w:b/>
          <w:szCs w:val="24"/>
        </w:rPr>
        <w:t>sample</w:t>
      </w:r>
      <w:r>
        <w:rPr>
          <w:rFonts w:ascii="Times New Roman" w:hAnsi="Times New Roman"/>
          <w:b/>
          <w:szCs w:val="24"/>
        </w:rPr>
        <w:t>s</w:t>
      </w:r>
    </w:p>
    <w:p w:rsidR="008B04E7" w:rsidRDefault="008B04E7" w:rsidP="00D86732">
      <w:pPr>
        <w:pStyle w:val="a9"/>
        <w:ind w:leftChars="0" w:left="0" w:firstLineChars="250" w:firstLine="600"/>
        <w:rPr>
          <w:rFonts w:ascii="Times New Roman" w:hAnsi="Times New Roman"/>
          <w:szCs w:val="24"/>
        </w:rPr>
      </w:pPr>
      <w:r>
        <w:rPr>
          <w:rFonts w:ascii="Times New Roman" w:hAnsi="Times New Roman"/>
          <w:szCs w:val="24"/>
        </w:rPr>
        <w:t xml:space="preserve">We then proceed to divide the full sample into the developed and the developing subgroups.  Generally, we classify those countries joined the Organization for Economic Co-operation and Development (OECD) before 1980 as developed economies, and the rest of the countries in the sample are grouped as developing economies. With these two subsamples, we rerun the unconditional and conditional difference-in-difference models to see whether financial liberalization will exert heterogeneous growth effect in alternative groups of countries which are in different stages of development. The estimate results are reported in Table 2. </w:t>
      </w:r>
    </w:p>
    <w:p w:rsidR="008B04E7" w:rsidRDefault="008B04E7" w:rsidP="00D86732">
      <w:pPr>
        <w:pStyle w:val="a9"/>
        <w:ind w:leftChars="0" w:left="0" w:firstLineChars="250" w:firstLine="600"/>
        <w:rPr>
          <w:rFonts w:ascii="Times New Roman" w:hAnsi="Times New Roman"/>
          <w:szCs w:val="24"/>
        </w:rPr>
      </w:pPr>
      <w:r>
        <w:rPr>
          <w:rFonts w:ascii="Times New Roman" w:hAnsi="Times New Roman"/>
          <w:szCs w:val="24"/>
        </w:rPr>
        <w:t xml:space="preserve">Columns (1) and (2) of Table 2 present the results for the developed subgroup. It can be seen that for developed countries though ‘catch up’ effect significantly exists in both unconditional and conditional models, the growth effect of financial liberalization is trivial and statistically insignificant, implying that the policy of financial liberalization may not be an effective impetus to short-run growth in developed countries. In addition, the regression results from the conditional model also show that openness to trade of a country is the most important factor that affects a country’s short run growth, while other determinants of growth show no such significant growth effect in developed countries. </w:t>
      </w:r>
    </w:p>
    <w:p w:rsidR="008B04E7" w:rsidRPr="00D01E38" w:rsidRDefault="008B04E7" w:rsidP="00D01E38">
      <w:pPr>
        <w:autoSpaceDE w:val="0"/>
        <w:autoSpaceDN w:val="0"/>
        <w:adjustRightInd w:val="0"/>
        <w:ind w:firstLineChars="250" w:firstLine="600"/>
      </w:pPr>
      <w:r>
        <w:rPr>
          <w:rFonts w:ascii="Times New Roman" w:hAnsi="Times New Roman"/>
        </w:rPr>
        <w:t>Next we</w:t>
      </w:r>
      <w:r w:rsidRPr="00D01E38">
        <w:rPr>
          <w:rFonts w:ascii="Times New Roman" w:hAnsi="Times New Roman"/>
        </w:rPr>
        <w:t xml:space="preserve"> focus on the results reported in columns (3) and (4) for the group of developing countries. As can be seen that the impact of financial liberalization on economic growth is positive, respectively 0.013 and 0.01</w:t>
      </w:r>
      <w:r w:rsidR="00CF59EE">
        <w:rPr>
          <w:rFonts w:ascii="Times New Roman" w:hAnsi="Times New Roman" w:hint="eastAsia"/>
        </w:rPr>
        <w:t>0</w:t>
      </w:r>
      <w:r w:rsidRPr="00D01E38">
        <w:rPr>
          <w:rFonts w:ascii="Times New Roman" w:hAnsi="Times New Roman"/>
        </w:rPr>
        <w:t xml:space="preserve"> in </w:t>
      </w:r>
      <w:r>
        <w:rPr>
          <w:rFonts w:ascii="Times New Roman" w:hAnsi="Times New Roman"/>
        </w:rPr>
        <w:t xml:space="preserve">the </w:t>
      </w:r>
      <w:r w:rsidRPr="00D01E38">
        <w:rPr>
          <w:rFonts w:ascii="Times New Roman" w:hAnsi="Times New Roman"/>
        </w:rPr>
        <w:t>unconditional and conditional cases, and statistically significant</w:t>
      </w:r>
      <w:r>
        <w:rPr>
          <w:rFonts w:ascii="Times New Roman" w:hAnsi="Times New Roman"/>
        </w:rPr>
        <w:t xml:space="preserve"> at the conventional levels</w:t>
      </w:r>
      <w:r w:rsidRPr="00D01E38">
        <w:rPr>
          <w:rFonts w:ascii="Times New Roman" w:hAnsi="Times New Roman"/>
        </w:rPr>
        <w:t xml:space="preserve">, thus indicating that the adoption of financial liberalization in the developing subgroup may be an effective measure to stimulate short-run growth. In general, the estimate result from </w:t>
      </w:r>
      <w:r>
        <w:rPr>
          <w:rFonts w:ascii="Times New Roman" w:hAnsi="Times New Roman"/>
        </w:rPr>
        <w:t xml:space="preserve">the </w:t>
      </w:r>
      <w:r w:rsidRPr="00D01E38">
        <w:rPr>
          <w:rFonts w:ascii="Times New Roman" w:hAnsi="Times New Roman"/>
        </w:rPr>
        <w:t>conditional model show</w:t>
      </w:r>
      <w:r>
        <w:rPr>
          <w:rFonts w:ascii="Times New Roman" w:hAnsi="Times New Roman"/>
        </w:rPr>
        <w:t>s</w:t>
      </w:r>
      <w:r w:rsidRPr="00D01E38">
        <w:rPr>
          <w:rFonts w:ascii="Times New Roman" w:hAnsi="Times New Roman"/>
        </w:rPr>
        <w:t xml:space="preserve"> that the implementation of financial liberalization policy will approximately exert an average growth of 1.1% for developing countries. By the way, </w:t>
      </w:r>
      <w:r>
        <w:rPr>
          <w:rFonts w:ascii="Times New Roman" w:hAnsi="Times New Roman"/>
        </w:rPr>
        <w:t xml:space="preserve">in </w:t>
      </w:r>
      <w:r w:rsidRPr="00D01E38">
        <w:rPr>
          <w:rFonts w:ascii="Times New Roman" w:hAnsi="Times New Roman"/>
        </w:rPr>
        <w:t xml:space="preserve">the conditional model, we can see that while government consumption and inflation have negative impact on growth, openness to trade exerts a positive growth effect. </w:t>
      </w:r>
      <w:r w:rsidRPr="00D01E38">
        <w:rPr>
          <w:rFonts w:ascii="Times New Roman" w:eastAsia="CMR12" w:hAnsi="Times New Roman"/>
          <w:kern w:val="0"/>
        </w:rPr>
        <w:t>By combining the above findings, it seems reasonable to conjecture that the growth effect of financial liberalization in the whole sample is mainly driven by the outcome of developing countries.</w:t>
      </w:r>
      <w:r w:rsidRPr="00D01E38">
        <w:rPr>
          <w:rFonts w:ascii="Times New Roman" w:hAnsi="Times New Roman"/>
        </w:rPr>
        <w:t xml:space="preserve"> </w:t>
      </w:r>
    </w:p>
    <w:p w:rsidR="008B04E7" w:rsidRPr="00D06BCB" w:rsidRDefault="008B04E7" w:rsidP="00D86732">
      <w:pPr>
        <w:pStyle w:val="a9"/>
        <w:ind w:leftChars="0" w:left="0" w:firstLineChars="250" w:firstLine="600"/>
        <w:rPr>
          <w:rFonts w:ascii="Times New Roman" w:hAnsi="Times New Roman"/>
          <w:szCs w:val="24"/>
        </w:rPr>
      </w:pPr>
    </w:p>
    <w:p w:rsidR="008B04E7" w:rsidRPr="005E3FE5" w:rsidRDefault="008B04E7" w:rsidP="00D06BCB">
      <w:pPr>
        <w:pStyle w:val="a9"/>
        <w:numPr>
          <w:ilvl w:val="1"/>
          <w:numId w:val="3"/>
        </w:numPr>
        <w:ind w:leftChars="0"/>
        <w:rPr>
          <w:rFonts w:ascii="Times New Roman" w:hAnsi="Times New Roman"/>
          <w:b/>
          <w:szCs w:val="24"/>
        </w:rPr>
      </w:pPr>
      <w:r w:rsidRPr="005E3FE5">
        <w:rPr>
          <w:rFonts w:ascii="Times New Roman" w:hAnsi="Times New Roman"/>
          <w:b/>
          <w:szCs w:val="24"/>
        </w:rPr>
        <w:t xml:space="preserve">Result of adding institutional factors for </w:t>
      </w:r>
      <w:r>
        <w:rPr>
          <w:rFonts w:ascii="Times New Roman" w:hAnsi="Times New Roman"/>
          <w:b/>
          <w:szCs w:val="24"/>
        </w:rPr>
        <w:t xml:space="preserve">developing </w:t>
      </w:r>
      <w:r w:rsidRPr="005E3FE5">
        <w:rPr>
          <w:rFonts w:ascii="Times New Roman" w:hAnsi="Times New Roman"/>
          <w:b/>
          <w:szCs w:val="24"/>
        </w:rPr>
        <w:t xml:space="preserve">countries  </w:t>
      </w:r>
    </w:p>
    <w:p w:rsidR="008B04E7" w:rsidRDefault="008B04E7" w:rsidP="00DC2C79">
      <w:pPr>
        <w:pStyle w:val="a9"/>
        <w:ind w:leftChars="0" w:left="360"/>
        <w:rPr>
          <w:rFonts w:ascii="Times New Roman" w:hAnsi="Times New Roman"/>
          <w:szCs w:val="24"/>
        </w:rPr>
      </w:pPr>
      <w:r>
        <w:rPr>
          <w:rFonts w:ascii="Times New Roman" w:hAnsi="Times New Roman"/>
          <w:szCs w:val="24"/>
        </w:rPr>
        <w:t xml:space="preserve">As it can be seen from the previous section that financial liberalization seems to be effective in developing countries but not in developed countries, in this section we continue to examine </w:t>
      </w:r>
      <w:r>
        <w:rPr>
          <w:rFonts w:ascii="Times New Roman" w:hAnsi="Times New Roman"/>
          <w:szCs w:val="24"/>
        </w:rPr>
        <w:lastRenderedPageBreak/>
        <w:t xml:space="preserve">whether the finding of positive growth effect from financial liberalization adopted in developing countries will alter if additional institutional factors are considered. The notion of institutions typically refers to a wide range of structure that affect economic outcomes, such as contract enforcement, property rights, investor protection, and the political system and the like. Empirical evidence, such as La </w:t>
      </w:r>
      <w:proofErr w:type="spellStart"/>
      <w:r>
        <w:rPr>
          <w:rFonts w:ascii="Times New Roman" w:hAnsi="Times New Roman"/>
          <w:szCs w:val="24"/>
        </w:rPr>
        <w:t>Porta</w:t>
      </w:r>
      <w:proofErr w:type="spellEnd"/>
      <w:r>
        <w:rPr>
          <w:rFonts w:ascii="Times New Roman" w:hAnsi="Times New Roman"/>
          <w:szCs w:val="24"/>
        </w:rPr>
        <w:t xml:space="preserve"> et al. (1997, 1998) and </w:t>
      </w:r>
      <w:proofErr w:type="spellStart"/>
      <w:r>
        <w:rPr>
          <w:rFonts w:ascii="Times New Roman" w:hAnsi="Times New Roman"/>
          <w:szCs w:val="24"/>
        </w:rPr>
        <w:t>Acemoglu</w:t>
      </w:r>
      <w:proofErr w:type="spellEnd"/>
      <w:r>
        <w:rPr>
          <w:rFonts w:ascii="Times New Roman" w:hAnsi="Times New Roman"/>
          <w:szCs w:val="24"/>
        </w:rPr>
        <w:t xml:space="preserve"> et al. (2001, 2002), generally suggests that institutions matter for economic performance and developed countries have much better institutions than developing ones. Accordingly, we follow </w:t>
      </w:r>
      <w:proofErr w:type="spellStart"/>
      <w:r>
        <w:rPr>
          <w:rFonts w:ascii="Times New Roman" w:hAnsi="Times New Roman"/>
          <w:szCs w:val="24"/>
        </w:rPr>
        <w:t>Bekaert</w:t>
      </w:r>
      <w:proofErr w:type="spellEnd"/>
      <w:r>
        <w:rPr>
          <w:rFonts w:ascii="Times New Roman" w:hAnsi="Times New Roman"/>
          <w:szCs w:val="24"/>
        </w:rPr>
        <w:t xml:space="preserve"> et al. (2005) to particularly consider a quality of institutions measure using three sub-components of the ICRG political risk rating: the institutional effect in the respects of the degree of political transparency (</w:t>
      </w:r>
      <w:r w:rsidRPr="002B1CFD">
        <w:rPr>
          <w:rFonts w:ascii="Times New Roman" w:hAnsi="Times New Roman"/>
          <w:i/>
          <w:szCs w:val="24"/>
        </w:rPr>
        <w:t>corruption</w:t>
      </w:r>
      <w:r>
        <w:rPr>
          <w:rFonts w:ascii="Times New Roman" w:hAnsi="Times New Roman"/>
          <w:szCs w:val="24"/>
        </w:rPr>
        <w:t>), the strength and quality of the bureaucracy (</w:t>
      </w:r>
      <w:r w:rsidRPr="002B1CFD">
        <w:rPr>
          <w:rFonts w:ascii="Times New Roman" w:hAnsi="Times New Roman"/>
          <w:i/>
          <w:szCs w:val="24"/>
        </w:rPr>
        <w:t>bureaucracy</w:t>
      </w:r>
      <w:r>
        <w:rPr>
          <w:rFonts w:ascii="Times New Roman" w:hAnsi="Times New Roman"/>
          <w:szCs w:val="24"/>
        </w:rPr>
        <w:t>) and the soundness of the law and order system (</w:t>
      </w:r>
      <w:r w:rsidRPr="002B1CFD">
        <w:rPr>
          <w:rFonts w:ascii="Times New Roman" w:hAnsi="Times New Roman"/>
          <w:i/>
          <w:szCs w:val="24"/>
        </w:rPr>
        <w:t>law and order</w:t>
      </w:r>
      <w:r>
        <w:rPr>
          <w:rFonts w:ascii="Times New Roman" w:hAnsi="Times New Roman"/>
          <w:szCs w:val="24"/>
        </w:rPr>
        <w:t xml:space="preserve">). Furthermore, individual growth effects of these three components are also additionally investigated. </w:t>
      </w:r>
    </w:p>
    <w:p w:rsidR="008B04E7" w:rsidRDefault="008B04E7" w:rsidP="00DC2C79">
      <w:pPr>
        <w:pStyle w:val="a9"/>
        <w:ind w:leftChars="0" w:left="360"/>
        <w:rPr>
          <w:rFonts w:ascii="Times New Roman" w:hAnsi="Times New Roman"/>
          <w:szCs w:val="24"/>
        </w:rPr>
      </w:pPr>
    </w:p>
    <w:p w:rsidR="008B04E7" w:rsidRDefault="008B04E7" w:rsidP="006A678B">
      <w:pPr>
        <w:pStyle w:val="a9"/>
        <w:ind w:leftChars="0" w:left="360" w:firstLineChars="250" w:firstLine="600"/>
        <w:rPr>
          <w:rFonts w:ascii="Times New Roman" w:hAnsi="Times New Roman"/>
          <w:szCs w:val="24"/>
        </w:rPr>
      </w:pPr>
      <w:r>
        <w:rPr>
          <w:rFonts w:ascii="Times New Roman" w:hAnsi="Times New Roman"/>
          <w:szCs w:val="24"/>
        </w:rPr>
        <w:t>We first estimate the models with these institutional factors added to the original specification in an independent manner and the results are presented in Table 3. As shown in column (1) of Table 3, we find that the growth effect of financial liberalization enhanced slightly from 0.011 to 0.013, when a comprehensive measure of institutions added to the model. In addition, the indicator of institutional quality itself also add additional 2% to economic growth, thus providing preliminary evidence that institutional quality does matters for enhancing the growth effect of financial liberalization in developing countries. We then proceed to investigate the individual growth effect of these three subcomponents. In columns (2) and (3) of Table 3, we find that when the indicator of the degree of political transparency (</w:t>
      </w:r>
      <w:r w:rsidRPr="002B1CFD">
        <w:rPr>
          <w:rFonts w:ascii="Times New Roman" w:hAnsi="Times New Roman"/>
          <w:i/>
          <w:szCs w:val="24"/>
        </w:rPr>
        <w:t>corruption</w:t>
      </w:r>
      <w:r>
        <w:rPr>
          <w:rFonts w:ascii="Times New Roman" w:hAnsi="Times New Roman"/>
          <w:szCs w:val="24"/>
        </w:rPr>
        <w:t>) and the strength and quality of the bureaucracy (</w:t>
      </w:r>
      <w:r w:rsidRPr="002B1CFD">
        <w:rPr>
          <w:rFonts w:ascii="Times New Roman" w:hAnsi="Times New Roman"/>
          <w:i/>
          <w:szCs w:val="24"/>
        </w:rPr>
        <w:t>bureaucracy</w:t>
      </w:r>
      <w:r>
        <w:rPr>
          <w:rFonts w:ascii="Times New Roman" w:hAnsi="Times New Roman"/>
          <w:szCs w:val="24"/>
        </w:rPr>
        <w:t xml:space="preserve">) are separately added to the model, the growth effect of financial liberalization is improved from 0.011 to 0.012, albeit </w:t>
      </w:r>
      <w:r w:rsidRPr="002B1CFD">
        <w:rPr>
          <w:rFonts w:ascii="Times New Roman" w:hAnsi="Times New Roman"/>
          <w:i/>
          <w:szCs w:val="24"/>
        </w:rPr>
        <w:t>corruption</w:t>
      </w:r>
      <w:r>
        <w:rPr>
          <w:rFonts w:ascii="Times New Roman" w:hAnsi="Times New Roman"/>
          <w:i/>
          <w:szCs w:val="24"/>
        </w:rPr>
        <w:t xml:space="preserve"> </w:t>
      </w:r>
      <w:r>
        <w:rPr>
          <w:rFonts w:ascii="Times New Roman" w:hAnsi="Times New Roman"/>
          <w:szCs w:val="24"/>
        </w:rPr>
        <w:t xml:space="preserve">and </w:t>
      </w:r>
      <w:r w:rsidRPr="002B1CFD">
        <w:rPr>
          <w:rFonts w:ascii="Times New Roman" w:hAnsi="Times New Roman"/>
          <w:i/>
          <w:szCs w:val="24"/>
        </w:rPr>
        <w:t>bureaucracy</w:t>
      </w:r>
      <w:r>
        <w:rPr>
          <w:rFonts w:ascii="Times New Roman" w:hAnsi="Times New Roman"/>
          <w:szCs w:val="24"/>
        </w:rPr>
        <w:t xml:space="preserve"> themselves do not exert any significant effect on growth. On the other hand, when add the measure of the law and order system to the model, we find that the growth effect of financial liberalization disappeared while the system of law and order itself possesses a statistically significant positive effect on growth. (</w:t>
      </w:r>
      <w:r w:rsidRPr="00711974">
        <w:rPr>
          <w:rFonts w:ascii="Times New Roman" w:hAnsi="Times New Roman"/>
          <w:color w:val="FF0000"/>
          <w:szCs w:val="24"/>
        </w:rPr>
        <w:t>Why so?</w:t>
      </w:r>
      <w:r>
        <w:rPr>
          <w:rFonts w:ascii="Times New Roman" w:hAnsi="Times New Roman"/>
          <w:szCs w:val="24"/>
        </w:rPr>
        <w:t>)</w:t>
      </w:r>
    </w:p>
    <w:p w:rsidR="008B04E7" w:rsidRDefault="008B04E7" w:rsidP="006A678B">
      <w:pPr>
        <w:pStyle w:val="a9"/>
        <w:ind w:leftChars="0" w:left="360" w:firstLineChars="250" w:firstLine="600"/>
        <w:rPr>
          <w:rFonts w:ascii="Times New Roman" w:hAnsi="Times New Roman"/>
          <w:szCs w:val="24"/>
        </w:rPr>
      </w:pPr>
    </w:p>
    <w:p w:rsidR="008B04E7" w:rsidRDefault="008B04E7" w:rsidP="006A678B">
      <w:pPr>
        <w:pStyle w:val="a9"/>
        <w:ind w:leftChars="0" w:left="360" w:firstLineChars="250" w:firstLine="600"/>
        <w:rPr>
          <w:rFonts w:ascii="Times New Roman" w:hAnsi="Times New Roman"/>
          <w:szCs w:val="24"/>
        </w:rPr>
      </w:pPr>
      <w:r>
        <w:rPr>
          <w:rFonts w:ascii="Times New Roman" w:hAnsi="Times New Roman"/>
          <w:szCs w:val="24"/>
        </w:rPr>
        <w:t xml:space="preserve">Alternatively, we consider including an interaction term of financial liberalization and institutional factors to the benchmark model presented in column (4) of Table 2. By modeling the role of institutional quality in the effectiveness of financial liberalization in this manner, we can discern the heterogeneous growth effects of financial liberalization across countries depending on the institutional quality of each country.  As it can be seen from Table 4, when this interaction term is added to the benchmark model, the growth effects directly from financial liberalization in all models are statistically insignificant. Rather, the coefficient on the interaction term of financial liberalization and institutions is 0.004, which is statistically significant at the 5% level. This outcome implies that countries with higher institutional quality will have higher growth rate </w:t>
      </w:r>
      <w:r>
        <w:rPr>
          <w:rFonts w:ascii="Times New Roman" w:hAnsi="Times New Roman"/>
          <w:szCs w:val="24"/>
        </w:rPr>
        <w:lastRenderedPageBreak/>
        <w:t xml:space="preserve">resulting from the adoption of financial liberalization policy. </w:t>
      </w:r>
      <w:r w:rsidRPr="004C0A11">
        <w:rPr>
          <w:rFonts w:ascii="Times New Roman" w:hAnsi="Times New Roman"/>
          <w:color w:val="FF0000"/>
          <w:szCs w:val="24"/>
        </w:rPr>
        <w:t xml:space="preserve">For instance,  </w:t>
      </w:r>
      <w:r>
        <w:rPr>
          <w:rFonts w:ascii="Times New Roman" w:hAnsi="Times New Roman"/>
          <w:szCs w:val="24"/>
        </w:rPr>
        <w:t xml:space="preserve">      </w:t>
      </w:r>
    </w:p>
    <w:p w:rsidR="00D65CE5" w:rsidRDefault="00D65CE5" w:rsidP="003E3F20">
      <w:pPr>
        <w:pStyle w:val="a9"/>
        <w:ind w:leftChars="0" w:left="360"/>
        <w:rPr>
          <w:rFonts w:ascii="Times New Roman" w:hAnsi="Times New Roman" w:hint="eastAsia"/>
          <w:szCs w:val="24"/>
        </w:rPr>
      </w:pPr>
    </w:p>
    <w:p w:rsidR="001D33D3" w:rsidRPr="00A11260" w:rsidRDefault="008B04E7" w:rsidP="00D65CE5">
      <w:pPr>
        <w:pStyle w:val="a9"/>
        <w:ind w:leftChars="0" w:left="360" w:firstLineChars="250" w:firstLine="600"/>
        <w:rPr>
          <w:rFonts w:ascii="Times New Roman" w:hAnsi="Times New Roman" w:hint="eastAsia"/>
          <w:color w:val="000000" w:themeColor="text1"/>
          <w:szCs w:val="24"/>
        </w:rPr>
      </w:pPr>
      <w:r>
        <w:rPr>
          <w:rFonts w:ascii="Times New Roman" w:hAnsi="Times New Roman"/>
          <w:szCs w:val="24"/>
        </w:rPr>
        <w:t>When look at the interaction term</w:t>
      </w:r>
      <w:r w:rsidR="00D65CE5">
        <w:rPr>
          <w:rFonts w:ascii="Times New Roman" w:hAnsi="Times New Roman" w:hint="eastAsia"/>
          <w:szCs w:val="24"/>
        </w:rPr>
        <w:t>s</w:t>
      </w:r>
      <w:r>
        <w:rPr>
          <w:rFonts w:ascii="Times New Roman" w:hAnsi="Times New Roman"/>
          <w:szCs w:val="24"/>
        </w:rPr>
        <w:t xml:space="preserve"> of the three subcomponents respectively with financial liberalization</w:t>
      </w:r>
      <w:r w:rsidR="00D65CE5">
        <w:rPr>
          <w:rFonts w:ascii="Times New Roman" w:hAnsi="Times New Roman" w:hint="eastAsia"/>
          <w:szCs w:val="24"/>
        </w:rPr>
        <w:t xml:space="preserve"> reported in columns (2)-(4) in Table 4</w:t>
      </w:r>
      <w:r>
        <w:rPr>
          <w:rFonts w:ascii="Times New Roman" w:hAnsi="Times New Roman"/>
          <w:szCs w:val="24"/>
        </w:rPr>
        <w:t xml:space="preserve">, we find that only the indicator of law and order is statistically matter </w:t>
      </w:r>
      <w:r w:rsidR="00A11260">
        <w:rPr>
          <w:rFonts w:ascii="Times New Roman" w:hAnsi="Times New Roman" w:hint="eastAsia"/>
          <w:szCs w:val="24"/>
        </w:rPr>
        <w:t>to</w:t>
      </w:r>
      <w:r>
        <w:rPr>
          <w:rFonts w:ascii="Times New Roman" w:hAnsi="Times New Roman"/>
          <w:szCs w:val="24"/>
        </w:rPr>
        <w:t xml:space="preserve"> determin</w:t>
      </w:r>
      <w:r w:rsidR="00A11260">
        <w:rPr>
          <w:rFonts w:ascii="Times New Roman" w:hAnsi="Times New Roman" w:hint="eastAsia"/>
          <w:szCs w:val="24"/>
        </w:rPr>
        <w:t>e</w:t>
      </w:r>
      <w:r>
        <w:rPr>
          <w:rFonts w:ascii="Times New Roman" w:hAnsi="Times New Roman"/>
          <w:szCs w:val="24"/>
        </w:rPr>
        <w:t xml:space="preserve"> the effectiveness of financial liberalization</w:t>
      </w:r>
      <w:r w:rsidR="00A11260">
        <w:rPr>
          <w:rFonts w:ascii="Times New Roman" w:hAnsi="Times New Roman" w:hint="eastAsia"/>
          <w:szCs w:val="24"/>
        </w:rPr>
        <w:t xml:space="preserve"> on growth</w:t>
      </w:r>
      <w:r>
        <w:rPr>
          <w:rFonts w:ascii="Times New Roman" w:hAnsi="Times New Roman"/>
          <w:szCs w:val="24"/>
        </w:rPr>
        <w:t xml:space="preserve">. </w:t>
      </w:r>
      <w:r w:rsidR="00D65CE5">
        <w:rPr>
          <w:rFonts w:ascii="Times New Roman" w:hAnsi="Times New Roman" w:hint="eastAsia"/>
          <w:szCs w:val="24"/>
        </w:rPr>
        <w:t>It is widely accepted in the literature that</w:t>
      </w:r>
      <w:r w:rsidRPr="006A3858">
        <w:rPr>
          <w:rFonts w:ascii="Times New Roman" w:hAnsi="Times New Roman"/>
          <w:color w:val="FF0000"/>
          <w:szCs w:val="24"/>
        </w:rPr>
        <w:t xml:space="preserve"> </w:t>
      </w:r>
      <w:r w:rsidRPr="00A11260">
        <w:rPr>
          <w:rFonts w:ascii="Times New Roman" w:hAnsi="Times New Roman"/>
          <w:color w:val="000000" w:themeColor="text1"/>
          <w:szCs w:val="24"/>
        </w:rPr>
        <w:t xml:space="preserve">the soundness of </w:t>
      </w:r>
      <w:r w:rsidR="00D65CE5" w:rsidRPr="00A11260">
        <w:rPr>
          <w:rFonts w:ascii="Times New Roman" w:hAnsi="Times New Roman" w:hint="eastAsia"/>
          <w:color w:val="000000" w:themeColor="text1"/>
          <w:szCs w:val="24"/>
        </w:rPr>
        <w:t xml:space="preserve">the </w:t>
      </w:r>
      <w:r w:rsidRPr="00A11260">
        <w:rPr>
          <w:rFonts w:ascii="Times New Roman" w:hAnsi="Times New Roman"/>
          <w:color w:val="000000" w:themeColor="text1"/>
          <w:szCs w:val="24"/>
        </w:rPr>
        <w:t xml:space="preserve">law and order system is relevant to contract enforcement, property rights, and investor protection, which are important to </w:t>
      </w:r>
      <w:r w:rsidR="005152A5">
        <w:rPr>
          <w:rFonts w:ascii="Times New Roman" w:hAnsi="Times New Roman" w:hint="eastAsia"/>
          <w:color w:val="000000" w:themeColor="text1"/>
          <w:szCs w:val="24"/>
        </w:rPr>
        <w:t xml:space="preserve">foreign </w:t>
      </w:r>
      <w:r w:rsidRPr="00A11260">
        <w:rPr>
          <w:rFonts w:ascii="Times New Roman" w:hAnsi="Times New Roman"/>
          <w:color w:val="000000" w:themeColor="text1"/>
          <w:szCs w:val="24"/>
        </w:rPr>
        <w:t>investors’ decision to invest</w:t>
      </w:r>
      <w:r w:rsidR="005152A5">
        <w:rPr>
          <w:rFonts w:ascii="Times New Roman" w:hAnsi="Times New Roman" w:hint="eastAsia"/>
          <w:color w:val="000000" w:themeColor="text1"/>
          <w:szCs w:val="24"/>
        </w:rPr>
        <w:t xml:space="preserve"> in the domestic markets</w:t>
      </w:r>
      <w:r w:rsidR="00D65CE5" w:rsidRPr="00A11260">
        <w:rPr>
          <w:rFonts w:ascii="Times New Roman" w:hAnsi="Times New Roman" w:hint="eastAsia"/>
          <w:color w:val="000000" w:themeColor="text1"/>
          <w:szCs w:val="24"/>
        </w:rPr>
        <w:t xml:space="preserve">, and hence the </w:t>
      </w:r>
      <w:r w:rsidR="00A11260" w:rsidRPr="00A11260">
        <w:rPr>
          <w:rFonts w:ascii="Times New Roman" w:hAnsi="Times New Roman" w:hint="eastAsia"/>
          <w:color w:val="000000" w:themeColor="text1"/>
          <w:szCs w:val="24"/>
        </w:rPr>
        <w:t>influence</w:t>
      </w:r>
      <w:r w:rsidR="00D65CE5" w:rsidRPr="00A11260">
        <w:rPr>
          <w:rFonts w:ascii="Times New Roman" w:hAnsi="Times New Roman" w:hint="eastAsia"/>
          <w:color w:val="000000" w:themeColor="text1"/>
          <w:szCs w:val="24"/>
        </w:rPr>
        <w:t xml:space="preserve"> of </w:t>
      </w:r>
      <w:r w:rsidR="00CF59EE" w:rsidRPr="00A11260">
        <w:rPr>
          <w:rFonts w:ascii="Times New Roman" w:hAnsi="Times New Roman" w:hint="eastAsia"/>
          <w:color w:val="000000" w:themeColor="text1"/>
          <w:szCs w:val="24"/>
        </w:rPr>
        <w:t xml:space="preserve">financial </w:t>
      </w:r>
      <w:r w:rsidR="00D65CE5" w:rsidRPr="00A11260">
        <w:rPr>
          <w:rFonts w:ascii="Times New Roman" w:hAnsi="Times New Roman" w:hint="eastAsia"/>
          <w:color w:val="000000" w:themeColor="text1"/>
          <w:szCs w:val="24"/>
        </w:rPr>
        <w:t>l</w:t>
      </w:r>
      <w:r w:rsidR="00CF59EE" w:rsidRPr="00A11260">
        <w:rPr>
          <w:rFonts w:ascii="Times New Roman" w:hAnsi="Times New Roman" w:hint="eastAsia"/>
          <w:color w:val="000000" w:themeColor="text1"/>
          <w:szCs w:val="24"/>
        </w:rPr>
        <w:t>iberalization</w:t>
      </w:r>
      <w:r w:rsidR="00D65CE5" w:rsidRPr="00A11260">
        <w:rPr>
          <w:rFonts w:ascii="Times New Roman" w:hAnsi="Times New Roman" w:hint="eastAsia"/>
          <w:color w:val="000000" w:themeColor="text1"/>
          <w:szCs w:val="24"/>
        </w:rPr>
        <w:t xml:space="preserve"> </w:t>
      </w:r>
      <w:r w:rsidR="00A11260" w:rsidRPr="00A11260">
        <w:rPr>
          <w:rFonts w:ascii="Times New Roman" w:hAnsi="Times New Roman" w:hint="eastAsia"/>
          <w:color w:val="000000" w:themeColor="text1"/>
          <w:szCs w:val="24"/>
        </w:rPr>
        <w:t xml:space="preserve">on </w:t>
      </w:r>
      <w:r w:rsidR="005152A5">
        <w:rPr>
          <w:rFonts w:ascii="Times New Roman" w:hAnsi="Times New Roman"/>
          <w:color w:val="000000" w:themeColor="text1"/>
          <w:szCs w:val="24"/>
        </w:rPr>
        <w:t>domestic</w:t>
      </w:r>
      <w:r w:rsidR="005152A5">
        <w:rPr>
          <w:rFonts w:ascii="Times New Roman" w:hAnsi="Times New Roman" w:hint="eastAsia"/>
          <w:color w:val="000000" w:themeColor="text1"/>
          <w:szCs w:val="24"/>
        </w:rPr>
        <w:t xml:space="preserve"> </w:t>
      </w:r>
      <w:r w:rsidR="00A11260" w:rsidRPr="00A11260">
        <w:rPr>
          <w:rFonts w:ascii="Times New Roman" w:hAnsi="Times New Roman" w:hint="eastAsia"/>
          <w:color w:val="000000" w:themeColor="text1"/>
          <w:szCs w:val="24"/>
        </w:rPr>
        <w:t xml:space="preserve">economic performance may be contingent on the </w:t>
      </w:r>
      <w:r w:rsidR="005152A5">
        <w:rPr>
          <w:rFonts w:ascii="Times New Roman" w:hAnsi="Times New Roman" w:hint="eastAsia"/>
          <w:color w:val="000000" w:themeColor="text1"/>
          <w:szCs w:val="24"/>
        </w:rPr>
        <w:t xml:space="preserve">soundness of the law and order system. </w:t>
      </w:r>
      <w:r w:rsidRPr="00A11260">
        <w:rPr>
          <w:rFonts w:ascii="Times New Roman" w:hAnsi="Times New Roman"/>
          <w:color w:val="000000" w:themeColor="text1"/>
          <w:szCs w:val="24"/>
        </w:rPr>
        <w:t>As such, we can conclude that the quality of institutions, especially the soundness of law and order system, does matter for the effectiveness of financial liberalization on economic growth.</w:t>
      </w:r>
      <w:r w:rsidR="001D33D3" w:rsidRPr="00A11260">
        <w:rPr>
          <w:rFonts w:ascii="Times New Roman" w:hAnsi="Times New Roman" w:hint="eastAsia"/>
          <w:color w:val="000000" w:themeColor="text1"/>
          <w:szCs w:val="24"/>
        </w:rPr>
        <w:t xml:space="preserve"> </w:t>
      </w:r>
      <w:r w:rsidR="00A11260" w:rsidRPr="00A11260">
        <w:rPr>
          <w:rFonts w:ascii="Times New Roman" w:hAnsi="Times New Roman" w:hint="eastAsia"/>
          <w:color w:val="000000" w:themeColor="text1"/>
          <w:szCs w:val="24"/>
        </w:rPr>
        <w:t>In other words, t</w:t>
      </w:r>
      <w:r w:rsidR="001D33D3" w:rsidRPr="00A11260">
        <w:rPr>
          <w:rFonts w:ascii="Times New Roman" w:hAnsi="Times New Roman" w:hint="eastAsia"/>
          <w:color w:val="000000" w:themeColor="text1"/>
          <w:szCs w:val="24"/>
        </w:rPr>
        <w:t xml:space="preserve">he countries with higher quality of institutions, especially the </w:t>
      </w:r>
      <w:r w:rsidR="001D33D3" w:rsidRPr="00A11260">
        <w:rPr>
          <w:rFonts w:ascii="Times New Roman" w:hAnsi="Times New Roman"/>
          <w:color w:val="000000" w:themeColor="text1"/>
          <w:szCs w:val="24"/>
        </w:rPr>
        <w:t>judicial system</w:t>
      </w:r>
      <w:r w:rsidR="001D33D3" w:rsidRPr="00A11260">
        <w:rPr>
          <w:rFonts w:ascii="Times New Roman" w:hAnsi="Times New Roman" w:hint="eastAsia"/>
          <w:color w:val="000000" w:themeColor="text1"/>
          <w:szCs w:val="24"/>
        </w:rPr>
        <w:t xml:space="preserve">, will possess higher </w:t>
      </w:r>
      <w:r w:rsidR="001D33D3" w:rsidRPr="00A11260">
        <w:rPr>
          <w:rFonts w:ascii="Times New Roman" w:hAnsi="Times New Roman"/>
          <w:color w:val="000000" w:themeColor="text1"/>
          <w:szCs w:val="24"/>
        </w:rPr>
        <w:t>growth</w:t>
      </w:r>
      <w:r w:rsidR="001D33D3" w:rsidRPr="00A11260">
        <w:rPr>
          <w:rFonts w:ascii="Times New Roman" w:hAnsi="Times New Roman" w:hint="eastAsia"/>
          <w:color w:val="000000" w:themeColor="text1"/>
          <w:szCs w:val="24"/>
        </w:rPr>
        <w:t xml:space="preserve"> rate from adopting financial liberalization</w:t>
      </w:r>
      <w:r w:rsidR="005152A5">
        <w:rPr>
          <w:rFonts w:ascii="Times New Roman" w:hAnsi="Times New Roman" w:hint="eastAsia"/>
          <w:color w:val="000000" w:themeColor="text1"/>
          <w:szCs w:val="24"/>
        </w:rPr>
        <w:t xml:space="preserve"> policy</w:t>
      </w:r>
      <w:r w:rsidR="001D33D3" w:rsidRPr="00A11260">
        <w:rPr>
          <w:rFonts w:ascii="Times New Roman" w:hAnsi="Times New Roman" w:hint="eastAsia"/>
          <w:color w:val="000000" w:themeColor="text1"/>
          <w:szCs w:val="24"/>
        </w:rPr>
        <w:t>.</w:t>
      </w:r>
    </w:p>
    <w:p w:rsidR="008B04E7" w:rsidRPr="00A45276" w:rsidRDefault="001D33D3" w:rsidP="00D65CE5">
      <w:pPr>
        <w:pStyle w:val="a9"/>
        <w:ind w:leftChars="0" w:left="360" w:firstLineChars="250" w:firstLine="600"/>
        <w:rPr>
          <w:rFonts w:ascii="Times New Roman" w:hAnsi="Times New Roman"/>
          <w:szCs w:val="24"/>
        </w:rPr>
      </w:pPr>
      <w:r>
        <w:rPr>
          <w:rFonts w:ascii="Times New Roman" w:hAnsi="Times New Roman" w:hint="eastAsia"/>
          <w:color w:val="FF0000"/>
          <w:szCs w:val="24"/>
        </w:rPr>
        <w:t xml:space="preserve">  </w:t>
      </w:r>
    </w:p>
    <w:p w:rsidR="008B04E7" w:rsidRPr="005E3FE5" w:rsidRDefault="008B04E7" w:rsidP="00D06BCB">
      <w:pPr>
        <w:pStyle w:val="a9"/>
        <w:numPr>
          <w:ilvl w:val="0"/>
          <w:numId w:val="3"/>
        </w:numPr>
        <w:ind w:leftChars="0"/>
        <w:rPr>
          <w:rFonts w:ascii="Times New Roman" w:hAnsi="Times New Roman"/>
          <w:b/>
          <w:szCs w:val="24"/>
        </w:rPr>
      </w:pPr>
      <w:r w:rsidRPr="005E3FE5">
        <w:rPr>
          <w:rFonts w:ascii="Times New Roman" w:hAnsi="Times New Roman"/>
          <w:b/>
          <w:szCs w:val="24"/>
        </w:rPr>
        <w:t>Robustness Checks</w:t>
      </w:r>
    </w:p>
    <w:p w:rsidR="00A11260" w:rsidRPr="00A11260" w:rsidRDefault="00A11260" w:rsidP="00A11260">
      <w:pPr>
        <w:pStyle w:val="a9"/>
        <w:autoSpaceDE w:val="0"/>
        <w:autoSpaceDN w:val="0"/>
        <w:adjustRightInd w:val="0"/>
        <w:ind w:leftChars="0" w:left="360"/>
        <w:rPr>
          <w:rFonts w:ascii="Times New Roman" w:eastAsia="CMR12" w:hAnsi="Times New Roman"/>
          <w:kern w:val="0"/>
          <w:szCs w:val="24"/>
        </w:rPr>
      </w:pPr>
      <w:r w:rsidRPr="00A11260">
        <w:rPr>
          <w:rFonts w:ascii="Times New Roman" w:eastAsia="CMR12" w:hAnsi="Times New Roman"/>
          <w:kern w:val="0"/>
          <w:szCs w:val="24"/>
        </w:rPr>
        <w:t>In this section, we perform a battery of experiments to check the robustness of our main</w:t>
      </w:r>
      <w:r>
        <w:rPr>
          <w:rFonts w:ascii="Times New Roman" w:eastAsia="CMR12" w:hAnsi="Times New Roman" w:hint="eastAsia"/>
          <w:kern w:val="0"/>
          <w:szCs w:val="24"/>
        </w:rPr>
        <w:t xml:space="preserve"> </w:t>
      </w:r>
      <w:r w:rsidRPr="00A11260">
        <w:rPr>
          <w:rFonts w:ascii="Times New Roman" w:eastAsia="CMR12" w:hAnsi="Times New Roman"/>
          <w:kern w:val="0"/>
          <w:szCs w:val="24"/>
        </w:rPr>
        <w:t xml:space="preserve">finding, i.e., </w:t>
      </w:r>
      <w:r>
        <w:rPr>
          <w:rFonts w:ascii="Times New Roman" w:eastAsia="CMR12" w:hAnsi="Times New Roman" w:hint="eastAsia"/>
          <w:kern w:val="0"/>
          <w:szCs w:val="24"/>
        </w:rPr>
        <w:t xml:space="preserve">the quality of institutions, especially the law and order system, does matter for </w:t>
      </w:r>
      <w:r w:rsidR="005152A5">
        <w:rPr>
          <w:rFonts w:ascii="Times New Roman" w:eastAsia="CMR12" w:hAnsi="Times New Roman" w:hint="eastAsia"/>
          <w:kern w:val="0"/>
          <w:szCs w:val="24"/>
        </w:rPr>
        <w:t xml:space="preserve">the effectiveness of </w:t>
      </w:r>
      <w:r w:rsidRPr="00A11260">
        <w:rPr>
          <w:rFonts w:ascii="Times New Roman" w:eastAsia="CMR12" w:hAnsi="Times New Roman"/>
          <w:kern w:val="0"/>
          <w:szCs w:val="24"/>
        </w:rPr>
        <w:t xml:space="preserve">financial </w:t>
      </w:r>
      <w:r w:rsidR="005152A5">
        <w:rPr>
          <w:rFonts w:ascii="Times New Roman" w:eastAsia="CMR12" w:hAnsi="Times New Roman" w:hint="eastAsia"/>
          <w:kern w:val="0"/>
          <w:szCs w:val="24"/>
        </w:rPr>
        <w:t xml:space="preserve">liberalization on </w:t>
      </w:r>
      <w:r w:rsidR="00E82E48">
        <w:rPr>
          <w:rFonts w:ascii="Times New Roman" w:eastAsia="CMR12" w:hAnsi="Times New Roman" w:hint="eastAsia"/>
          <w:kern w:val="0"/>
          <w:szCs w:val="24"/>
        </w:rPr>
        <w:t xml:space="preserve">improving </w:t>
      </w:r>
      <w:r w:rsidR="005152A5">
        <w:rPr>
          <w:rFonts w:ascii="Times New Roman" w:eastAsia="CMR12" w:hAnsi="Times New Roman" w:hint="eastAsia"/>
          <w:kern w:val="0"/>
          <w:szCs w:val="24"/>
        </w:rPr>
        <w:t>economic per</w:t>
      </w:r>
      <w:r w:rsidR="00E82E48">
        <w:rPr>
          <w:rFonts w:ascii="Times New Roman" w:eastAsia="CMR12" w:hAnsi="Times New Roman" w:hint="eastAsia"/>
          <w:kern w:val="0"/>
          <w:szCs w:val="24"/>
        </w:rPr>
        <w:t xml:space="preserve">formance. </w:t>
      </w:r>
      <w:r w:rsidRPr="00A11260">
        <w:rPr>
          <w:rFonts w:ascii="Times New Roman" w:eastAsia="CMR12" w:hAnsi="Times New Roman"/>
          <w:kern w:val="0"/>
          <w:szCs w:val="24"/>
        </w:rPr>
        <w:t>First of</w:t>
      </w:r>
    </w:p>
    <w:p w:rsidR="00A11260" w:rsidRPr="00A11260" w:rsidRDefault="00A11260" w:rsidP="00A11260">
      <w:pPr>
        <w:pStyle w:val="a9"/>
        <w:autoSpaceDE w:val="0"/>
        <w:autoSpaceDN w:val="0"/>
        <w:adjustRightInd w:val="0"/>
        <w:ind w:leftChars="0" w:left="360"/>
        <w:rPr>
          <w:rFonts w:ascii="Times New Roman" w:eastAsia="CMR12" w:hAnsi="Times New Roman"/>
          <w:kern w:val="0"/>
          <w:szCs w:val="24"/>
        </w:rPr>
      </w:pPr>
      <w:proofErr w:type="gramStart"/>
      <w:r w:rsidRPr="00A11260">
        <w:rPr>
          <w:rFonts w:ascii="Times New Roman" w:eastAsia="CMR12" w:hAnsi="Times New Roman"/>
          <w:kern w:val="0"/>
          <w:szCs w:val="24"/>
        </w:rPr>
        <w:t>all</w:t>
      </w:r>
      <w:proofErr w:type="gramEnd"/>
      <w:r w:rsidRPr="00A11260">
        <w:rPr>
          <w:rFonts w:ascii="Times New Roman" w:eastAsia="CMR12" w:hAnsi="Times New Roman"/>
          <w:kern w:val="0"/>
          <w:szCs w:val="24"/>
        </w:rPr>
        <w:t xml:space="preserve">, to check for the sensitivity of our main results to alternative </w:t>
      </w:r>
      <w:r w:rsidR="00E82E48">
        <w:rPr>
          <w:rFonts w:ascii="Times New Roman" w:eastAsia="CMR12" w:hAnsi="Times New Roman" w:hint="eastAsia"/>
          <w:kern w:val="0"/>
          <w:szCs w:val="24"/>
        </w:rPr>
        <w:t>indicator</w:t>
      </w:r>
      <w:r w:rsidRPr="00A11260">
        <w:rPr>
          <w:rFonts w:ascii="Times New Roman" w:eastAsia="CMR12" w:hAnsi="Times New Roman"/>
          <w:kern w:val="0"/>
          <w:szCs w:val="24"/>
        </w:rPr>
        <w:t xml:space="preserve"> of </w:t>
      </w:r>
      <w:r w:rsidR="00E82E48">
        <w:rPr>
          <w:rFonts w:ascii="Times New Roman" w:eastAsia="CMR12" w:hAnsi="Times New Roman" w:hint="eastAsia"/>
          <w:kern w:val="0"/>
          <w:szCs w:val="24"/>
        </w:rPr>
        <w:t>financial liberalization</w:t>
      </w:r>
      <w:r w:rsidRPr="00A11260">
        <w:rPr>
          <w:rFonts w:ascii="Times New Roman" w:eastAsia="CMR12" w:hAnsi="Times New Roman"/>
          <w:kern w:val="0"/>
          <w:szCs w:val="24"/>
        </w:rPr>
        <w:t>, we re-estimate the  of Equation (1), using</w:t>
      </w:r>
    </w:p>
    <w:p w:rsidR="008B04E7" w:rsidRDefault="008B04E7" w:rsidP="00A11260">
      <w:pPr>
        <w:pStyle w:val="a9"/>
        <w:ind w:leftChars="0" w:left="360"/>
        <w:rPr>
          <w:rFonts w:ascii="Times New Roman" w:hAnsi="Times New Roman"/>
          <w:szCs w:val="24"/>
        </w:rPr>
      </w:pPr>
      <w:r>
        <w:rPr>
          <w:rFonts w:ascii="Times New Roman" w:hAnsi="Times New Roman"/>
          <w:szCs w:val="24"/>
        </w:rPr>
        <w:t xml:space="preserve"> </w:t>
      </w:r>
    </w:p>
    <w:p w:rsidR="008B04E7" w:rsidRPr="00A228C7" w:rsidRDefault="008B04E7" w:rsidP="00D06BCB">
      <w:pPr>
        <w:pStyle w:val="a9"/>
        <w:numPr>
          <w:ilvl w:val="0"/>
          <w:numId w:val="3"/>
        </w:numPr>
        <w:ind w:leftChars="0"/>
        <w:rPr>
          <w:rFonts w:ascii="Times New Roman" w:hAnsi="Times New Roman"/>
          <w:b/>
          <w:szCs w:val="24"/>
        </w:rPr>
      </w:pPr>
      <w:r w:rsidRPr="00A228C7">
        <w:rPr>
          <w:rFonts w:ascii="Times New Roman" w:hAnsi="Times New Roman"/>
          <w:b/>
          <w:szCs w:val="24"/>
        </w:rPr>
        <w:t>Conclusion</w:t>
      </w:r>
    </w:p>
    <w:p w:rsidR="008B04E7" w:rsidRPr="00D23CB7" w:rsidRDefault="008B04E7" w:rsidP="005E3FE5">
      <w:pPr>
        <w:pStyle w:val="a9"/>
        <w:ind w:leftChars="0" w:left="360"/>
        <w:rPr>
          <w:rFonts w:ascii="Times New Roman" w:hAnsi="Times New Roman"/>
          <w:szCs w:val="24"/>
        </w:rPr>
      </w:pPr>
      <w:r>
        <w:rPr>
          <w:rFonts w:ascii="Times New Roman" w:hAnsi="Times New Roman"/>
          <w:szCs w:val="24"/>
        </w:rPr>
        <w:t>AAA</w:t>
      </w:r>
    </w:p>
    <w:p w:rsidR="008B04E7" w:rsidRDefault="008B04E7" w:rsidP="006418C2">
      <w:pPr>
        <w:rPr>
          <w:rFonts w:ascii="Times New Roman" w:hAnsi="Times New Roman"/>
          <w:szCs w:val="24"/>
        </w:rPr>
      </w:pPr>
      <w:r w:rsidRPr="00D23CB7">
        <w:rPr>
          <w:rFonts w:ascii="Times New Roman" w:hAnsi="Times New Roman"/>
          <w:szCs w:val="24"/>
        </w:rPr>
        <w:t>Reference</w:t>
      </w: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9642AA" w:rsidRDefault="009642AA" w:rsidP="006418C2">
      <w:pPr>
        <w:rPr>
          <w:rFonts w:ascii="Times New Roman" w:hAnsi="Times New Roman"/>
          <w:szCs w:val="24"/>
        </w:rPr>
      </w:pPr>
    </w:p>
    <w:p w:rsidR="008B04E7" w:rsidRDefault="008B04E7" w:rsidP="001E6231">
      <w:pPr>
        <w:jc w:val="center"/>
        <w:rPr>
          <w:rFonts w:ascii="Times New Roman" w:hAnsi="Times New Roman"/>
          <w:szCs w:val="24"/>
        </w:rPr>
      </w:pPr>
      <w:r>
        <w:rPr>
          <w:rFonts w:ascii="Times New Roman" w:hAnsi="Times New Roman"/>
          <w:szCs w:val="24"/>
        </w:rPr>
        <w:t xml:space="preserve">Table </w:t>
      </w:r>
      <w:proofErr w:type="gramStart"/>
      <w:r>
        <w:rPr>
          <w:rFonts w:ascii="Times New Roman" w:hAnsi="Times New Roman"/>
          <w:szCs w:val="24"/>
        </w:rPr>
        <w:t>1  Estimated</w:t>
      </w:r>
      <w:proofErr w:type="gramEnd"/>
      <w:r>
        <w:rPr>
          <w:rFonts w:ascii="Times New Roman" w:hAnsi="Times New Roman"/>
          <w:szCs w:val="24"/>
        </w:rPr>
        <w:t xml:space="preserve"> Growth Effect of Financial Liberalization (Full Sample)</w:t>
      </w:r>
    </w:p>
    <w:tbl>
      <w:tblPr>
        <w:tblW w:w="0" w:type="auto"/>
        <w:jc w:val="center"/>
        <w:tblLayout w:type="fixed"/>
        <w:tblCellMar>
          <w:left w:w="75" w:type="dxa"/>
          <w:right w:w="75" w:type="dxa"/>
        </w:tblCellMar>
        <w:tblLook w:val="0000"/>
      </w:tblPr>
      <w:tblGrid>
        <w:gridCol w:w="2768"/>
        <w:gridCol w:w="1559"/>
        <w:gridCol w:w="1559"/>
        <w:gridCol w:w="1560"/>
        <w:gridCol w:w="1597"/>
      </w:tblGrid>
      <w:tr w:rsidR="008B04E7" w:rsidRPr="006D7A96" w:rsidTr="000D42A0">
        <w:trPr>
          <w:jc w:val="center"/>
        </w:trPr>
        <w:tc>
          <w:tcPr>
            <w:tcW w:w="2768"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1559" w:type="dxa"/>
            <w:tcBorders>
              <w:top w:val="single" w:sz="6" w:space="0" w:color="auto"/>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p>
        </w:tc>
        <w:tc>
          <w:tcPr>
            <w:tcW w:w="1559" w:type="dxa"/>
            <w:tcBorders>
              <w:top w:val="single" w:sz="6" w:space="0" w:color="auto"/>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p>
        </w:tc>
        <w:tc>
          <w:tcPr>
            <w:tcW w:w="3157" w:type="dxa"/>
            <w:gridSpan w:val="2"/>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w:t>
            </w:r>
          </w:p>
        </w:tc>
      </w:tr>
      <w:tr w:rsidR="008B04E7" w:rsidRPr="006D7A96" w:rsidTr="000D42A0">
        <w:trPr>
          <w:jc w:val="center"/>
        </w:trPr>
        <w:tc>
          <w:tcPr>
            <w:tcW w:w="2768" w:type="dxa"/>
            <w:tcBorders>
              <w:top w:val="nil"/>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Time FE</w:t>
            </w:r>
          </w:p>
        </w:tc>
        <w:tc>
          <w:tcPr>
            <w:tcW w:w="1559" w:type="dxa"/>
            <w:tcBorders>
              <w:top w:val="nil"/>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Country FE</w:t>
            </w:r>
          </w:p>
        </w:tc>
        <w:tc>
          <w:tcPr>
            <w:tcW w:w="1560" w:type="dxa"/>
            <w:tcBorders>
              <w:top w:val="single" w:sz="4" w:space="0" w:color="auto"/>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Unconditional</w:t>
            </w:r>
          </w:p>
        </w:tc>
        <w:tc>
          <w:tcPr>
            <w:tcW w:w="1597" w:type="dxa"/>
            <w:tcBorders>
              <w:top w:val="single" w:sz="4" w:space="0" w:color="auto"/>
              <w:left w:val="nil"/>
              <w:bottom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Conditional</w:t>
            </w:r>
          </w:p>
        </w:tc>
      </w:tr>
      <w:tr w:rsidR="008B04E7" w:rsidRPr="006D7A96" w:rsidTr="000D42A0">
        <w:trPr>
          <w:jc w:val="center"/>
        </w:trPr>
        <w:tc>
          <w:tcPr>
            <w:tcW w:w="2768"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559"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60"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597"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0.024***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-0.076***</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-0.040</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(0.041)</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-0.117**</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-0.000</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0D42A0">
        <w:trPr>
          <w:jc w:val="center"/>
        </w:trPr>
        <w:tc>
          <w:tcPr>
            <w:tcW w:w="2768" w:type="dxa"/>
            <w:tcBorders>
              <w:top w:val="nil"/>
              <w:left w:val="nil"/>
              <w:bottom w:val="nil"/>
              <w:right w:val="nil"/>
            </w:tcBorders>
          </w:tcPr>
          <w:p w:rsidR="000A2BB5" w:rsidRPr="000D42A0" w:rsidRDefault="000A2BB5" w:rsidP="001B2ABA">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r>
      <w:tr w:rsidR="000A2BB5" w:rsidRPr="006D7A96" w:rsidTr="000D42A0">
        <w:trPr>
          <w:jc w:val="center"/>
        </w:trPr>
        <w:tc>
          <w:tcPr>
            <w:tcW w:w="2768" w:type="dxa"/>
            <w:tcBorders>
              <w:top w:val="nil"/>
              <w:left w:val="nil"/>
              <w:bottom w:val="nil"/>
              <w:right w:val="nil"/>
            </w:tcBorders>
          </w:tcPr>
          <w:p w:rsidR="000A2BB5" w:rsidRPr="006D7A96" w:rsidRDefault="000A2BB5" w:rsidP="001B2ABA">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0D42A0">
        <w:trPr>
          <w:jc w:val="center"/>
        </w:trPr>
        <w:tc>
          <w:tcPr>
            <w:tcW w:w="2768" w:type="dxa"/>
            <w:tcBorders>
              <w:top w:val="nil"/>
              <w:left w:val="nil"/>
              <w:bottom w:val="nil"/>
              <w:right w:val="nil"/>
            </w:tcBorders>
          </w:tcPr>
          <w:p w:rsidR="000A2BB5" w:rsidRPr="006D7A96" w:rsidRDefault="000A2BB5" w:rsidP="001B2ABA">
            <w:pPr>
              <w:autoSpaceDE w:val="0"/>
              <w:autoSpaceDN w:val="0"/>
              <w:adjustRightInd w:val="0"/>
              <w:rPr>
                <w:rFonts w:ascii="Times New Roman" w:hAnsi="Times New Roman"/>
                <w:kern w:val="0"/>
                <w:szCs w:val="24"/>
              </w:rPr>
            </w:pPr>
            <w:r w:rsidRPr="006D7A96">
              <w:rPr>
                <w:rFonts w:ascii="Times New Roman" w:hAnsi="Times New Roman"/>
                <w:kern w:val="0"/>
                <w:szCs w:val="24"/>
              </w:rPr>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0.452***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0.602***</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0.595***</w:t>
            </w:r>
          </w:p>
        </w:tc>
      </w:tr>
      <w:tr w:rsidR="000A2BB5" w:rsidRPr="006D7A96" w:rsidTr="000D42A0">
        <w:trPr>
          <w:jc w:val="center"/>
        </w:trPr>
        <w:tc>
          <w:tcPr>
            <w:tcW w:w="2768" w:type="dxa"/>
            <w:tcBorders>
              <w:top w:val="nil"/>
              <w:left w:val="nil"/>
              <w:bottom w:val="nil"/>
              <w:right w:val="nil"/>
            </w:tcBorders>
          </w:tcPr>
          <w:p w:rsidR="000A2BB5" w:rsidRPr="006D7A96" w:rsidRDefault="000A2BB5" w:rsidP="001B2ABA">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(0.071)</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(0.084)</w:t>
            </w:r>
          </w:p>
        </w:tc>
      </w:tr>
      <w:tr w:rsidR="000A2BB5" w:rsidRPr="006D7A96" w:rsidTr="000D42A0">
        <w:trPr>
          <w:jc w:val="center"/>
        </w:trPr>
        <w:tc>
          <w:tcPr>
            <w:tcW w:w="2768" w:type="dxa"/>
            <w:tcBorders>
              <w:top w:val="nil"/>
              <w:left w:val="nil"/>
              <w:bottom w:val="nil"/>
              <w:right w:val="nil"/>
            </w:tcBorders>
          </w:tcPr>
          <w:p w:rsidR="000A2BB5" w:rsidRPr="006D7A96" w:rsidRDefault="000A2BB5" w:rsidP="001B2ABA">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2,199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2,199</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2,199</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1,843</w:t>
            </w:r>
          </w:p>
        </w:tc>
      </w:tr>
      <w:tr w:rsidR="000A2BB5" w:rsidRPr="006D7A96" w:rsidTr="001B2ABA">
        <w:tblPrEx>
          <w:tblBorders>
            <w:bottom w:val="single" w:sz="6" w:space="0" w:color="auto"/>
          </w:tblBorders>
        </w:tblPrEx>
        <w:trPr>
          <w:jc w:val="center"/>
        </w:trPr>
        <w:tc>
          <w:tcPr>
            <w:tcW w:w="2768" w:type="dxa"/>
            <w:tcBorders>
              <w:top w:val="nil"/>
              <w:left w:val="nil"/>
              <w:bottom w:val="nil"/>
              <w:right w:val="nil"/>
            </w:tcBorders>
          </w:tcPr>
          <w:p w:rsidR="000A2BB5" w:rsidRPr="006D7A96" w:rsidRDefault="000A2BB5" w:rsidP="001B2ABA">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0.203</w:t>
            </w:r>
          </w:p>
        </w:tc>
        <w:tc>
          <w:tcPr>
            <w:tcW w:w="159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0.237</w:t>
            </w:r>
          </w:p>
        </w:tc>
      </w:tr>
      <w:tr w:rsidR="001B2ABA" w:rsidRPr="006D7A96" w:rsidTr="000D42A0">
        <w:tblPrEx>
          <w:tblBorders>
            <w:bottom w:val="single" w:sz="6" w:space="0" w:color="auto"/>
          </w:tblBorders>
        </w:tblPrEx>
        <w:trPr>
          <w:jc w:val="center"/>
        </w:trPr>
        <w:tc>
          <w:tcPr>
            <w:tcW w:w="2768" w:type="dxa"/>
            <w:tcBorders>
              <w:top w:val="nil"/>
              <w:left w:val="nil"/>
              <w:bottom w:val="single" w:sz="6" w:space="0" w:color="auto"/>
              <w:right w:val="nil"/>
            </w:tcBorders>
          </w:tcPr>
          <w:p w:rsidR="001B2ABA" w:rsidRPr="006D7A96" w:rsidRDefault="001B2ABA" w:rsidP="001B2ABA">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88</w:t>
            </w:r>
          </w:p>
        </w:tc>
        <w:tc>
          <w:tcPr>
            <w:tcW w:w="1559"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88</w:t>
            </w:r>
          </w:p>
        </w:tc>
        <w:tc>
          <w:tcPr>
            <w:tcW w:w="1560"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88</w:t>
            </w:r>
          </w:p>
        </w:tc>
        <w:tc>
          <w:tcPr>
            <w:tcW w:w="1597"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79</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36004C" w:rsidRDefault="0036004C" w:rsidP="001E6231">
      <w:pPr>
        <w:jc w:val="center"/>
        <w:rPr>
          <w:rFonts w:ascii="Times New Roman" w:hAnsi="Times New Roman"/>
          <w:szCs w:val="24"/>
        </w:rPr>
      </w:pPr>
    </w:p>
    <w:p w:rsidR="009642AA" w:rsidRDefault="009642AA" w:rsidP="001E6231">
      <w:pPr>
        <w:jc w:val="center"/>
        <w:rPr>
          <w:rFonts w:ascii="Times New Roman" w:hAnsi="Times New Roman"/>
          <w:szCs w:val="24"/>
        </w:rPr>
      </w:pPr>
    </w:p>
    <w:p w:rsidR="008B04E7" w:rsidRDefault="008B04E7" w:rsidP="001E6231">
      <w:pPr>
        <w:jc w:val="center"/>
        <w:rPr>
          <w:rFonts w:ascii="Times New Roman" w:hAnsi="Times New Roman"/>
          <w:szCs w:val="24"/>
        </w:rPr>
      </w:pPr>
      <w:r>
        <w:rPr>
          <w:rFonts w:ascii="Times New Roman" w:hAnsi="Times New Roman"/>
          <w:szCs w:val="24"/>
        </w:rPr>
        <w:t xml:space="preserve">Table </w:t>
      </w:r>
      <w:proofErr w:type="gramStart"/>
      <w:r>
        <w:rPr>
          <w:rFonts w:ascii="Times New Roman" w:hAnsi="Times New Roman"/>
          <w:szCs w:val="24"/>
        </w:rPr>
        <w:t>2  Estimated</w:t>
      </w:r>
      <w:proofErr w:type="gramEnd"/>
      <w:r>
        <w:rPr>
          <w:rFonts w:ascii="Times New Roman" w:hAnsi="Times New Roman"/>
          <w:szCs w:val="24"/>
        </w:rPr>
        <w:t xml:space="preserve"> Growth Effect of Financial Liberalization (Subsamples)</w:t>
      </w:r>
    </w:p>
    <w:tbl>
      <w:tblPr>
        <w:tblW w:w="8958" w:type="dxa"/>
        <w:jc w:val="center"/>
        <w:tblInd w:w="-228" w:type="dxa"/>
        <w:tblLayout w:type="fixed"/>
        <w:tblCellMar>
          <w:left w:w="75" w:type="dxa"/>
          <w:right w:w="75" w:type="dxa"/>
        </w:tblCellMar>
        <w:tblLook w:val="0000"/>
      </w:tblPr>
      <w:tblGrid>
        <w:gridCol w:w="2867"/>
        <w:gridCol w:w="1559"/>
        <w:gridCol w:w="1417"/>
        <w:gridCol w:w="284"/>
        <w:gridCol w:w="1417"/>
        <w:gridCol w:w="1414"/>
      </w:tblGrid>
      <w:tr w:rsidR="008B04E7" w:rsidRPr="006D7A96" w:rsidTr="000D42A0">
        <w:trPr>
          <w:jc w:val="center"/>
        </w:trPr>
        <w:tc>
          <w:tcPr>
            <w:tcW w:w="2867"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091" w:type="dxa"/>
            <w:gridSpan w:val="5"/>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0D42A0">
        <w:trPr>
          <w:jc w:val="center"/>
        </w:trPr>
        <w:tc>
          <w:tcPr>
            <w:tcW w:w="2867" w:type="dxa"/>
            <w:tcBorders>
              <w:top w:val="nil"/>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2976" w:type="dxa"/>
            <w:gridSpan w:val="2"/>
            <w:tcBorders>
              <w:top w:val="single" w:sz="4"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Pr>
                <w:rFonts w:ascii="Times New Roman" w:hAnsi="Times New Roman"/>
                <w:kern w:val="0"/>
                <w:szCs w:val="24"/>
              </w:rPr>
              <w:t>Developed Countries</w:t>
            </w:r>
          </w:p>
        </w:tc>
        <w:tc>
          <w:tcPr>
            <w:tcW w:w="284" w:type="dxa"/>
            <w:tcBorders>
              <w:top w:val="single" w:sz="4" w:space="0" w:color="auto"/>
              <w:left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p>
        </w:tc>
        <w:tc>
          <w:tcPr>
            <w:tcW w:w="2831" w:type="dxa"/>
            <w:gridSpan w:val="2"/>
            <w:tcBorders>
              <w:top w:val="single" w:sz="4"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Pr>
                <w:rFonts w:ascii="Times New Roman" w:hAnsi="Times New Roman"/>
                <w:kern w:val="0"/>
                <w:szCs w:val="24"/>
              </w:rPr>
              <w:t>Developing Countries</w:t>
            </w:r>
          </w:p>
        </w:tc>
      </w:tr>
      <w:tr w:rsidR="008B04E7" w:rsidRPr="006D7A96" w:rsidTr="000D42A0">
        <w:trPr>
          <w:jc w:val="center"/>
        </w:trPr>
        <w:tc>
          <w:tcPr>
            <w:tcW w:w="2867"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417"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284" w:type="dxa"/>
            <w:tcBorders>
              <w:top w:val="nil"/>
              <w:left w:val="nil"/>
              <w:right w:val="nil"/>
            </w:tcBorders>
          </w:tcPr>
          <w:p w:rsidR="008B04E7" w:rsidRPr="006D7A96" w:rsidRDefault="008B04E7" w:rsidP="000A483C">
            <w:pPr>
              <w:autoSpaceDE w:val="0"/>
              <w:autoSpaceDN w:val="0"/>
              <w:adjustRightInd w:val="0"/>
              <w:jc w:val="center"/>
              <w:rPr>
                <w:rFonts w:ascii="Times New Roman" w:hAnsi="Times New Roman"/>
                <w:kern w:val="0"/>
                <w:szCs w:val="24"/>
              </w:rPr>
            </w:pPr>
          </w:p>
        </w:tc>
        <w:tc>
          <w:tcPr>
            <w:tcW w:w="1417"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414" w:type="dxa"/>
            <w:tcBorders>
              <w:top w:val="nil"/>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0.010*</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-0.089***</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-0.063*</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-0.080***</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(0.023)</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(0.031)</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-0.092</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-0.026</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(0.079)</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(0.046)</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-0.121**</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(0.098)</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-0.000</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0.000</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-0.046*</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(0.027)</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0D42A0">
        <w:trPr>
          <w:jc w:val="center"/>
        </w:trPr>
        <w:tc>
          <w:tcPr>
            <w:tcW w:w="2867"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0.117***</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0.044***</w:t>
            </w:r>
          </w:p>
        </w:tc>
      </w:tr>
      <w:tr w:rsidR="000A2BB5" w:rsidRPr="006D7A96" w:rsidTr="000D42A0">
        <w:trPr>
          <w:jc w:val="center"/>
        </w:trPr>
        <w:tc>
          <w:tcPr>
            <w:tcW w:w="2867" w:type="dxa"/>
            <w:tcBorders>
              <w:top w:val="nil"/>
              <w:left w:val="nil"/>
              <w:bottom w:val="nil"/>
              <w:right w:val="nil"/>
            </w:tcBorders>
          </w:tcPr>
          <w:p w:rsidR="000A2BB5" w:rsidRPr="006D7A96" w:rsidRDefault="000A2BB5" w:rsidP="00D3057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(0.024)</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0D42A0">
        <w:trPr>
          <w:jc w:val="center"/>
        </w:trPr>
        <w:tc>
          <w:tcPr>
            <w:tcW w:w="2867"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0.857***</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0.586**</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0.570***</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0.554***</w:t>
            </w:r>
          </w:p>
        </w:tc>
      </w:tr>
      <w:tr w:rsidR="000A2BB5" w:rsidRPr="006D7A96" w:rsidTr="000D42A0">
        <w:trPr>
          <w:jc w:val="center"/>
        </w:trPr>
        <w:tc>
          <w:tcPr>
            <w:tcW w:w="2867"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(0.223)</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(0.272)</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(0.076)</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(0.087)</w:t>
            </w:r>
          </w:p>
        </w:tc>
      </w:tr>
      <w:tr w:rsidR="000A2BB5" w:rsidRPr="006D7A96" w:rsidTr="000D42A0">
        <w:trPr>
          <w:jc w:val="center"/>
        </w:trPr>
        <w:tc>
          <w:tcPr>
            <w:tcW w:w="2867"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524</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501</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1,675</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1,342</w:t>
            </w:r>
          </w:p>
        </w:tc>
      </w:tr>
      <w:tr w:rsidR="000A2BB5" w:rsidRPr="006D7A96" w:rsidTr="001B2ABA">
        <w:tblPrEx>
          <w:tblBorders>
            <w:bottom w:val="single" w:sz="6" w:space="0" w:color="auto"/>
          </w:tblBorders>
        </w:tblPrEx>
        <w:trPr>
          <w:jc w:val="center"/>
        </w:trPr>
        <w:tc>
          <w:tcPr>
            <w:tcW w:w="2867"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0.301</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0.384</w:t>
            </w:r>
          </w:p>
        </w:tc>
        <w:tc>
          <w:tcPr>
            <w:tcW w:w="284" w:type="dxa"/>
            <w:tcBorders>
              <w:top w:val="nil"/>
              <w:left w:val="nil"/>
              <w:bottom w:val="nil"/>
              <w:right w:val="nil"/>
            </w:tcBorders>
          </w:tcPr>
          <w:p w:rsidR="000A2BB5" w:rsidRPr="006D7A96" w:rsidRDefault="000A2BB5" w:rsidP="000A483C">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0.203</w:t>
            </w:r>
          </w:p>
        </w:tc>
        <w:tc>
          <w:tcPr>
            <w:tcW w:w="141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0.235</w:t>
            </w:r>
          </w:p>
        </w:tc>
      </w:tr>
      <w:tr w:rsidR="001B2ABA" w:rsidRPr="006D7A96" w:rsidTr="000D42A0">
        <w:tblPrEx>
          <w:tblBorders>
            <w:bottom w:val="single" w:sz="6" w:space="0" w:color="auto"/>
          </w:tblBorders>
        </w:tblPrEx>
        <w:trPr>
          <w:jc w:val="center"/>
        </w:trPr>
        <w:tc>
          <w:tcPr>
            <w:tcW w:w="2867" w:type="dxa"/>
            <w:tcBorders>
              <w:top w:val="nil"/>
              <w:left w:val="nil"/>
              <w:bottom w:val="single" w:sz="6" w:space="0" w:color="auto"/>
              <w:right w:val="nil"/>
            </w:tcBorders>
          </w:tcPr>
          <w:p w:rsidR="001B2ABA" w:rsidRPr="006D7A96" w:rsidRDefault="001B2AB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21</w:t>
            </w:r>
          </w:p>
        </w:tc>
        <w:tc>
          <w:tcPr>
            <w:tcW w:w="1417"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21</w:t>
            </w:r>
          </w:p>
        </w:tc>
        <w:tc>
          <w:tcPr>
            <w:tcW w:w="284" w:type="dxa"/>
            <w:tcBorders>
              <w:top w:val="nil"/>
              <w:left w:val="nil"/>
              <w:bottom w:val="single" w:sz="6" w:space="0" w:color="auto"/>
              <w:right w:val="nil"/>
            </w:tcBorders>
          </w:tcPr>
          <w:p w:rsidR="001B2ABA" w:rsidRPr="006D7A96" w:rsidRDefault="001B2ABA" w:rsidP="000A483C">
            <w:pPr>
              <w:autoSpaceDE w:val="0"/>
              <w:autoSpaceDN w:val="0"/>
              <w:adjustRightInd w:val="0"/>
              <w:jc w:val="center"/>
              <w:rPr>
                <w:rFonts w:ascii="Times New Roman" w:hAnsi="Times New Roman"/>
                <w:kern w:val="0"/>
                <w:szCs w:val="24"/>
              </w:rPr>
            </w:pPr>
          </w:p>
        </w:tc>
        <w:tc>
          <w:tcPr>
            <w:tcW w:w="1417"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67</w:t>
            </w:r>
          </w:p>
        </w:tc>
        <w:tc>
          <w:tcPr>
            <w:tcW w:w="1414"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58</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r>
        <w:rPr>
          <w:rFonts w:ascii="Times New Roman" w:hAnsi="Times New Roman"/>
          <w:szCs w:val="24"/>
        </w:rPr>
        <w:t xml:space="preserve">Table </w:t>
      </w:r>
      <w:proofErr w:type="gramStart"/>
      <w:r>
        <w:rPr>
          <w:rFonts w:ascii="Times New Roman" w:hAnsi="Times New Roman"/>
          <w:szCs w:val="24"/>
        </w:rPr>
        <w:t>3  Adding</w:t>
      </w:r>
      <w:proofErr w:type="gramEnd"/>
      <w:r>
        <w:rPr>
          <w:rFonts w:ascii="Times New Roman" w:hAnsi="Times New Roman"/>
          <w:szCs w:val="24"/>
        </w:rPr>
        <w:t xml:space="preserve"> Independent Institutional Effects (Developing countries)</w:t>
      </w:r>
    </w:p>
    <w:tbl>
      <w:tblPr>
        <w:tblW w:w="0" w:type="auto"/>
        <w:jc w:val="center"/>
        <w:tblLayout w:type="fixed"/>
        <w:tblCellMar>
          <w:left w:w="75" w:type="dxa"/>
          <w:right w:w="75" w:type="dxa"/>
        </w:tblCellMar>
        <w:tblLook w:val="0000"/>
      </w:tblPr>
      <w:tblGrid>
        <w:gridCol w:w="2856"/>
        <w:gridCol w:w="1559"/>
        <w:gridCol w:w="1701"/>
        <w:gridCol w:w="1559"/>
        <w:gridCol w:w="1545"/>
      </w:tblGrid>
      <w:tr w:rsidR="008B04E7" w:rsidRPr="006D7A96" w:rsidTr="000D42A0">
        <w:trPr>
          <w:jc w:val="center"/>
        </w:trPr>
        <w:tc>
          <w:tcPr>
            <w:tcW w:w="2856" w:type="dxa"/>
            <w:tcBorders>
              <w:top w:val="single" w:sz="4"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364" w:type="dxa"/>
            <w:gridSpan w:val="4"/>
            <w:tcBorders>
              <w:top w:val="single" w:sz="4"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0D42A0">
        <w:trPr>
          <w:jc w:val="center"/>
        </w:trPr>
        <w:tc>
          <w:tcPr>
            <w:tcW w:w="2856"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701"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545"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w:t>
            </w:r>
            <w:r>
              <w:rPr>
                <w:rFonts w:ascii="Times New Roman" w:hAnsi="Times New Roman" w:hint="eastAsia"/>
                <w:kern w:val="0"/>
                <w:szCs w:val="24"/>
              </w:rPr>
              <w:t>9</w:t>
            </w:r>
            <w:r>
              <w:rPr>
                <w:rFonts w:ascii="Times New Roman" w:hAnsi="Times New Roman"/>
                <w:kern w:val="0"/>
                <w:szCs w:val="24"/>
              </w:rPr>
              <w:t>***</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-0.113***</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-0.072</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-0.060</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-0.088</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-0.137**</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-0.150*</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-0.106</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(0.066)</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w:t>
            </w:r>
            <w:r>
              <w:rPr>
                <w:rFonts w:ascii="Times New Roman" w:hAnsi="Times New Roman" w:hint="eastAsia"/>
                <w:kern w:val="0"/>
                <w:szCs w:val="24"/>
              </w:rPr>
              <w:t>2</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w:t>
            </w:r>
            <w:r>
              <w:rPr>
                <w:rFonts w:ascii="Times New Roman" w:hAnsi="Times New Roman" w:hint="eastAsia"/>
                <w:kern w:val="0"/>
                <w:szCs w:val="24"/>
              </w:rPr>
              <w:t>6</w:t>
            </w:r>
            <w:r>
              <w:rPr>
                <w:rFonts w:ascii="Times New Roman" w:hAnsi="Times New Roman"/>
                <w:kern w:val="0"/>
                <w:szCs w:val="24"/>
              </w:rPr>
              <w:t>)</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w:t>
            </w:r>
            <w:r>
              <w:rPr>
                <w:rFonts w:ascii="Times New Roman" w:hAnsi="Times New Roman" w:hint="eastAsia"/>
                <w:kern w:val="0"/>
                <w:szCs w:val="24"/>
              </w:rPr>
              <w:t>4</w:t>
            </w:r>
            <w:r>
              <w:rPr>
                <w:rFonts w:ascii="Times New Roman" w:hAnsi="Times New Roman"/>
                <w:kern w:val="0"/>
                <w:szCs w:val="24"/>
              </w:rPr>
              <w:t>**</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w:t>
            </w:r>
            <w:r>
              <w:rPr>
                <w:rFonts w:ascii="Times New Roman" w:hAnsi="Times New Roman" w:hint="eastAsia"/>
                <w:kern w:val="0"/>
                <w:szCs w:val="24"/>
              </w:rPr>
              <w:t>7</w:t>
            </w:r>
            <w:r>
              <w:rPr>
                <w:rFonts w:ascii="Times New Roman" w:hAnsi="Times New Roman"/>
                <w:kern w:val="0"/>
                <w:szCs w:val="24"/>
              </w:rPr>
              <w:t>)</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0.049***</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r>
      <w:tr w:rsidR="000A2BB5" w:rsidRPr="006D7A96" w:rsidTr="000D42A0">
        <w:trPr>
          <w:jc w:val="center"/>
        </w:trPr>
        <w:tc>
          <w:tcPr>
            <w:tcW w:w="2856" w:type="dxa"/>
            <w:tcBorders>
              <w:top w:val="nil"/>
              <w:left w:val="nil"/>
              <w:bottom w:val="nil"/>
              <w:right w:val="nil"/>
            </w:tcBorders>
          </w:tcPr>
          <w:p w:rsidR="000A2BB5" w:rsidRPr="006D7A96" w:rsidRDefault="000A2BB5" w:rsidP="00D3057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58124C">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bureaucracy</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856"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 xml:space="preserve">law </w:t>
            </w:r>
            <w:r>
              <w:rPr>
                <w:rFonts w:ascii="Times New Roman" w:hAnsi="Times New Roman"/>
                <w:i/>
                <w:kern w:val="0"/>
                <w:szCs w:val="24"/>
              </w:rPr>
              <w:t>and</w:t>
            </w:r>
            <w:r w:rsidRPr="000D42A0">
              <w:rPr>
                <w:rFonts w:ascii="Times New Roman" w:hAnsi="Times New Roman"/>
                <w:i/>
                <w:kern w:val="0"/>
                <w:szCs w:val="24"/>
              </w:rPr>
              <w:t xml:space="preserve"> order</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0D42A0">
        <w:trPr>
          <w:jc w:val="center"/>
        </w:trPr>
        <w:tc>
          <w:tcPr>
            <w:tcW w:w="2856"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r>
      <w:tr w:rsidR="000A2BB5" w:rsidRPr="006D7A96" w:rsidTr="000D42A0">
        <w:trPr>
          <w:jc w:val="center"/>
        </w:trPr>
        <w:tc>
          <w:tcPr>
            <w:tcW w:w="2856"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0.738***</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0.731***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0.728***</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0.806***</w:t>
            </w:r>
          </w:p>
        </w:tc>
      </w:tr>
      <w:tr w:rsidR="000A2BB5" w:rsidRPr="006D7A96" w:rsidTr="000D42A0">
        <w:trPr>
          <w:jc w:val="center"/>
        </w:trPr>
        <w:tc>
          <w:tcPr>
            <w:tcW w:w="2856"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(0.093)</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(0.099)</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(0.091)</w:t>
            </w:r>
          </w:p>
        </w:tc>
      </w:tr>
      <w:tr w:rsidR="000A2BB5" w:rsidRPr="006D7A96" w:rsidTr="000D42A0">
        <w:trPr>
          <w:jc w:val="center"/>
        </w:trPr>
        <w:tc>
          <w:tcPr>
            <w:tcW w:w="2856"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lastRenderedPageBreak/>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1B2ABA">
        <w:tblPrEx>
          <w:tblBorders>
            <w:bottom w:val="single" w:sz="6" w:space="0" w:color="auto"/>
          </w:tblBorders>
        </w:tblPrEx>
        <w:trPr>
          <w:jc w:val="center"/>
        </w:trPr>
        <w:tc>
          <w:tcPr>
            <w:tcW w:w="2856"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0.285</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0.280</w:t>
            </w:r>
          </w:p>
        </w:tc>
        <w:tc>
          <w:tcPr>
            <w:tcW w:w="1545"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0.292</w:t>
            </w:r>
          </w:p>
        </w:tc>
      </w:tr>
      <w:tr w:rsidR="001B2ABA" w:rsidRPr="006D7A96" w:rsidTr="000D42A0">
        <w:tblPrEx>
          <w:tblBorders>
            <w:bottom w:val="single" w:sz="6" w:space="0" w:color="auto"/>
          </w:tblBorders>
        </w:tblPrEx>
        <w:trPr>
          <w:jc w:val="center"/>
        </w:trPr>
        <w:tc>
          <w:tcPr>
            <w:tcW w:w="2856" w:type="dxa"/>
            <w:tcBorders>
              <w:top w:val="nil"/>
              <w:left w:val="nil"/>
              <w:bottom w:val="single" w:sz="6" w:space="0" w:color="auto"/>
              <w:right w:val="nil"/>
            </w:tcBorders>
          </w:tcPr>
          <w:p w:rsidR="001B2ABA" w:rsidRPr="006D7A96" w:rsidRDefault="001B2AB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701"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45" w:type="dxa"/>
            <w:tcBorders>
              <w:top w:val="nil"/>
              <w:left w:val="nil"/>
              <w:bottom w:val="single" w:sz="6" w:space="0" w:color="auto"/>
              <w:right w:val="nil"/>
            </w:tcBorders>
          </w:tcPr>
          <w:p w:rsidR="001B2ABA" w:rsidRDefault="001B2AB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 w:val="28"/>
          <w:szCs w:val="28"/>
        </w:rPr>
      </w:pPr>
    </w:p>
    <w:p w:rsidR="008B04E7" w:rsidRPr="006B7AED"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Cs w:val="24"/>
        </w:rPr>
      </w:pPr>
      <w:r>
        <w:rPr>
          <w:rFonts w:ascii="Times New Roman" w:hAnsi="Times New Roman"/>
          <w:szCs w:val="24"/>
        </w:rPr>
        <w:t xml:space="preserve">Table </w:t>
      </w:r>
      <w:proofErr w:type="gramStart"/>
      <w:r>
        <w:rPr>
          <w:rFonts w:ascii="Times New Roman" w:hAnsi="Times New Roman"/>
          <w:szCs w:val="24"/>
        </w:rPr>
        <w:t>4  Adding</w:t>
      </w:r>
      <w:proofErr w:type="gramEnd"/>
      <w:r>
        <w:rPr>
          <w:rFonts w:ascii="Times New Roman" w:hAnsi="Times New Roman"/>
          <w:szCs w:val="24"/>
        </w:rPr>
        <w:t xml:space="preserve"> Interactive Institutional Effects (Developing countries)</w:t>
      </w:r>
    </w:p>
    <w:tbl>
      <w:tblPr>
        <w:tblW w:w="0" w:type="auto"/>
        <w:jc w:val="center"/>
        <w:tblLayout w:type="fixed"/>
        <w:tblCellMar>
          <w:left w:w="75" w:type="dxa"/>
          <w:right w:w="75" w:type="dxa"/>
        </w:tblCellMar>
        <w:tblLook w:val="0000"/>
      </w:tblPr>
      <w:tblGrid>
        <w:gridCol w:w="2700"/>
        <w:gridCol w:w="1559"/>
        <w:gridCol w:w="1559"/>
        <w:gridCol w:w="1560"/>
        <w:gridCol w:w="1530"/>
      </w:tblGrid>
      <w:tr w:rsidR="008B04E7" w:rsidRPr="006D7A96" w:rsidTr="000D42A0">
        <w:trPr>
          <w:jc w:val="center"/>
        </w:trPr>
        <w:tc>
          <w:tcPr>
            <w:tcW w:w="2700"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208" w:type="dxa"/>
            <w:gridSpan w:val="4"/>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0D42A0">
        <w:trPr>
          <w:jc w:val="center"/>
        </w:trPr>
        <w:tc>
          <w:tcPr>
            <w:tcW w:w="2700"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6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53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-0.010</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-0.098***</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-0.109***</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-0.060</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-0.079</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-0.149*</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-0.122</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(0.079)</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r>
      <w:tr w:rsidR="000A2BB5" w:rsidRPr="006D7A96" w:rsidTr="000D42A0">
        <w:trPr>
          <w:jc w:val="center"/>
        </w:trPr>
        <w:tc>
          <w:tcPr>
            <w:tcW w:w="2700" w:type="dxa"/>
            <w:tcBorders>
              <w:top w:val="nil"/>
              <w:left w:val="nil"/>
              <w:bottom w:val="nil"/>
              <w:right w:val="nil"/>
            </w:tcBorders>
          </w:tcPr>
          <w:p w:rsidR="000A2BB5" w:rsidRPr="006D7A96" w:rsidRDefault="000A2BB5" w:rsidP="000D42A0">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38" type="#_x0000_t75" style="width:9pt;height:10pt" o:ole="">
                  <v:imagedata r:id="rId33" o:title=""/>
                </v:shape>
                <o:OLEObject Type="Embed" ProgID="Equation.3" ShapeID="_x0000_i1038" DrawAspect="Content" ObjectID="_1428411003" r:id="rId34"/>
              </w:object>
            </w:r>
            <w:r w:rsidRPr="000D42A0">
              <w:rPr>
                <w:rFonts w:ascii="Times New Roman" w:hAnsi="Times New Roman"/>
                <w:i/>
                <w:kern w:val="0"/>
                <w:szCs w:val="24"/>
              </w:rPr>
              <w:t xml:space="preserve"> </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39" type="#_x0000_t75" style="width:9pt;height:10pt" o:ole="">
                  <v:imagedata r:id="rId35" o:title=""/>
                </v:shape>
                <o:OLEObject Type="Embed" ProgID="Equation.3" ShapeID="_x0000_i1039" DrawAspect="Content" ObjectID="_1428411004" r:id="rId36"/>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0" type="#_x0000_t75" style="width:9pt;height:10pt" o:ole="">
                  <v:imagedata r:id="rId35" o:title=""/>
                </v:shape>
                <o:OLEObject Type="Embed" ProgID="Equation.3" ShapeID="_x0000_i1040" DrawAspect="Content" ObjectID="_1428411005" r:id="rId37"/>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0D42A0">
            <w:pPr>
              <w:autoSpaceDE w:val="0"/>
              <w:autoSpaceDN w:val="0"/>
              <w:adjustRightInd w:val="0"/>
              <w:rPr>
                <w:rFonts w:ascii="Times New Roman" w:hAnsi="Times New Roman"/>
                <w:i/>
                <w:kern w:val="0"/>
                <w:szCs w:val="24"/>
              </w:rPr>
            </w:pPr>
            <w:r w:rsidRPr="000D42A0">
              <w:rPr>
                <w:rFonts w:ascii="Times New Roman" w:hAnsi="Times New Roman"/>
                <w:i/>
                <w:kern w:val="0"/>
                <w:szCs w:val="24"/>
              </w:rPr>
              <w:t>bureaucracy</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0D42A0">
        <w:trPr>
          <w:jc w:val="center"/>
        </w:trPr>
        <w:tc>
          <w:tcPr>
            <w:tcW w:w="2700" w:type="dxa"/>
            <w:tcBorders>
              <w:top w:val="nil"/>
              <w:left w:val="nil"/>
              <w:bottom w:val="nil"/>
              <w:right w:val="nil"/>
            </w:tcBorders>
          </w:tcPr>
          <w:p w:rsidR="000A2BB5" w:rsidRPr="000D42A0" w:rsidRDefault="000A2BB5" w:rsidP="0058124C">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1" type="#_x0000_t75" style="width:9pt;height:10pt" o:ole="">
                  <v:imagedata r:id="rId35" o:title=""/>
                </v:shape>
                <o:OLEObject Type="Embed" ProgID="Equation.3" ShapeID="_x0000_i1041" DrawAspect="Content" ObjectID="_1428411006" r:id="rId38"/>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0D42A0">
        <w:trPr>
          <w:jc w:val="center"/>
        </w:trPr>
        <w:tc>
          <w:tcPr>
            <w:tcW w:w="2700"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Pr>
                <w:rFonts w:ascii="Times New Roman" w:hAnsi="Times New Roman"/>
                <w:i/>
                <w:kern w:val="0"/>
                <w:szCs w:val="24"/>
              </w:rPr>
              <w:t>l</w:t>
            </w:r>
            <w:r w:rsidRPr="000D42A0">
              <w:rPr>
                <w:rFonts w:ascii="Times New Roman" w:hAnsi="Times New Roman"/>
                <w:i/>
                <w:kern w:val="0"/>
                <w:szCs w:val="24"/>
              </w:rPr>
              <w:t>aw and order</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0D42A0">
        <w:trPr>
          <w:jc w:val="center"/>
        </w:trPr>
        <w:tc>
          <w:tcPr>
            <w:tcW w:w="2700" w:type="dxa"/>
            <w:tcBorders>
              <w:top w:val="nil"/>
              <w:left w:val="nil"/>
              <w:bottom w:val="nil"/>
              <w:right w:val="nil"/>
            </w:tcBorders>
          </w:tcPr>
          <w:p w:rsidR="000A2BB5" w:rsidRPr="000D42A0" w:rsidRDefault="000A2BB5" w:rsidP="000A483C">
            <w:pPr>
              <w:autoSpaceDE w:val="0"/>
              <w:autoSpaceDN w:val="0"/>
              <w:adjustRightInd w:val="0"/>
              <w:rPr>
                <w:rFonts w:ascii="Times New Roman" w:hAnsi="Times New Roman"/>
                <w:i/>
                <w:kern w:val="0"/>
                <w:szCs w:val="24"/>
              </w:rPr>
            </w:pPr>
            <w:r w:rsidRPr="000D42A0">
              <w:rPr>
                <w:rFonts w:ascii="Times New Roman" w:hAnsi="Times New Roman"/>
                <w:i/>
                <w:kern w:val="0"/>
                <w:szCs w:val="24"/>
              </w:rPr>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0.746***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0.720***</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0.725***</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0.793***</w:t>
            </w:r>
          </w:p>
        </w:tc>
      </w:tr>
      <w:tr w:rsidR="000A2BB5" w:rsidRPr="006D7A96" w:rsidTr="000D42A0">
        <w:trPr>
          <w:jc w:val="center"/>
        </w:trPr>
        <w:tc>
          <w:tcPr>
            <w:tcW w:w="2700"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(0.103)</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(0.094)</w:t>
            </w:r>
          </w:p>
        </w:tc>
      </w:tr>
      <w:tr w:rsidR="000A2BB5" w:rsidRPr="006D7A96" w:rsidTr="000D42A0">
        <w:trPr>
          <w:jc w:val="center"/>
        </w:trPr>
        <w:tc>
          <w:tcPr>
            <w:tcW w:w="2700"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1B2ABA">
        <w:tblPrEx>
          <w:tblBorders>
            <w:bottom w:val="single" w:sz="6" w:space="0" w:color="auto"/>
          </w:tblBorders>
        </w:tblPrEx>
        <w:trPr>
          <w:jc w:val="center"/>
        </w:trPr>
        <w:tc>
          <w:tcPr>
            <w:tcW w:w="2700"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0.280</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0.286</w:t>
            </w:r>
          </w:p>
        </w:tc>
      </w:tr>
      <w:tr w:rsidR="001B2ABA" w:rsidRPr="006D7A96" w:rsidTr="000D42A0">
        <w:tblPrEx>
          <w:tblBorders>
            <w:bottom w:val="single" w:sz="6" w:space="0" w:color="auto"/>
          </w:tblBorders>
        </w:tblPrEx>
        <w:trPr>
          <w:jc w:val="center"/>
        </w:trPr>
        <w:tc>
          <w:tcPr>
            <w:tcW w:w="2700" w:type="dxa"/>
            <w:tcBorders>
              <w:top w:val="nil"/>
              <w:left w:val="nil"/>
              <w:bottom w:val="single" w:sz="6" w:space="0" w:color="auto"/>
              <w:right w:val="nil"/>
            </w:tcBorders>
          </w:tcPr>
          <w:p w:rsidR="001B2ABA" w:rsidRPr="006D7A96" w:rsidRDefault="001B2AB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1B2AB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1B2AB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60" w:type="dxa"/>
            <w:tcBorders>
              <w:top w:val="nil"/>
              <w:left w:val="nil"/>
              <w:bottom w:val="single" w:sz="6" w:space="0" w:color="auto"/>
              <w:right w:val="nil"/>
            </w:tcBorders>
          </w:tcPr>
          <w:p w:rsidR="001B2AB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30" w:type="dxa"/>
            <w:tcBorders>
              <w:top w:val="nil"/>
              <w:left w:val="nil"/>
              <w:bottom w:val="single" w:sz="6" w:space="0" w:color="auto"/>
              <w:right w:val="nil"/>
            </w:tcBorders>
          </w:tcPr>
          <w:p w:rsidR="001B2AB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Pr="00552C0E"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Cs w:val="24"/>
        </w:rPr>
      </w:pPr>
      <w:r>
        <w:rPr>
          <w:rFonts w:ascii="Times New Roman" w:hAnsi="Times New Roman"/>
          <w:szCs w:val="24"/>
        </w:rPr>
        <w:t>Table 5 Alternative Indicator of Financial Liberalization (Independent Institutional Effect)</w:t>
      </w:r>
    </w:p>
    <w:tbl>
      <w:tblPr>
        <w:tblW w:w="0" w:type="auto"/>
        <w:jc w:val="center"/>
        <w:tblLayout w:type="fixed"/>
        <w:tblCellMar>
          <w:left w:w="75" w:type="dxa"/>
          <w:right w:w="75" w:type="dxa"/>
        </w:tblCellMar>
        <w:tblLook w:val="0000"/>
      </w:tblPr>
      <w:tblGrid>
        <w:gridCol w:w="2842"/>
        <w:gridCol w:w="1559"/>
        <w:gridCol w:w="1559"/>
        <w:gridCol w:w="1559"/>
        <w:gridCol w:w="1389"/>
      </w:tblGrid>
      <w:tr w:rsidR="008B04E7" w:rsidRPr="006D7A96" w:rsidTr="003C2E74">
        <w:trPr>
          <w:jc w:val="center"/>
        </w:trPr>
        <w:tc>
          <w:tcPr>
            <w:tcW w:w="2842"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066" w:type="dxa"/>
            <w:gridSpan w:val="4"/>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3C2E74">
        <w:trPr>
          <w:jc w:val="center"/>
        </w:trPr>
        <w:tc>
          <w:tcPr>
            <w:tcW w:w="2842"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38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-0.095***</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-0.110***</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-0.056</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-0.086</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-0.133**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-0.146*</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-0.102</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0.049***</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r>
      <w:tr w:rsidR="000A2BB5" w:rsidRPr="006D7A96" w:rsidTr="003C2E74">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bureaucracy</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 xml:space="preserve">law </w:t>
            </w:r>
            <w:r>
              <w:rPr>
                <w:rFonts w:ascii="Times New Roman" w:hAnsi="Times New Roman"/>
                <w:i/>
                <w:kern w:val="0"/>
                <w:szCs w:val="24"/>
              </w:rPr>
              <w:t>and</w:t>
            </w:r>
            <w:r w:rsidRPr="000D42A0">
              <w:rPr>
                <w:rFonts w:ascii="Times New Roman" w:hAnsi="Times New Roman"/>
                <w:i/>
                <w:kern w:val="0"/>
                <w:szCs w:val="24"/>
              </w:rPr>
              <w:t xml:space="preserve"> order</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3C2E74">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r>
      <w:tr w:rsidR="000A2BB5" w:rsidRPr="006D7A96" w:rsidTr="003C2E74">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lastRenderedPageBreak/>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0.709***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0.707***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0.699***</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0.791***</w:t>
            </w:r>
          </w:p>
        </w:tc>
      </w:tr>
      <w:tr w:rsidR="000A2BB5" w:rsidRPr="006D7A96" w:rsidTr="003C2E74">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(0.100)</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(0.089)</w:t>
            </w:r>
          </w:p>
        </w:tc>
      </w:tr>
      <w:tr w:rsidR="000A2BB5" w:rsidRPr="006D7A96" w:rsidTr="003C2E74">
        <w:trPr>
          <w:jc w:val="center"/>
        </w:trPr>
        <w:tc>
          <w:tcPr>
            <w:tcW w:w="2842"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9642AA">
        <w:tblPrEx>
          <w:tblBorders>
            <w:bottom w:val="single" w:sz="6" w:space="0" w:color="auto"/>
          </w:tblBorders>
        </w:tblPrEx>
        <w:trPr>
          <w:jc w:val="center"/>
        </w:trPr>
        <w:tc>
          <w:tcPr>
            <w:tcW w:w="2842"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0.279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0.277</w:t>
            </w:r>
          </w:p>
        </w:tc>
        <w:tc>
          <w:tcPr>
            <w:tcW w:w="138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0.290</w:t>
            </w:r>
          </w:p>
        </w:tc>
      </w:tr>
      <w:tr w:rsidR="009642AA" w:rsidRPr="006D7A96" w:rsidTr="003C2E74">
        <w:tblPrEx>
          <w:tblBorders>
            <w:bottom w:val="single" w:sz="6" w:space="0" w:color="auto"/>
          </w:tblBorders>
        </w:tblPrEx>
        <w:trPr>
          <w:jc w:val="center"/>
        </w:trPr>
        <w:tc>
          <w:tcPr>
            <w:tcW w:w="2842" w:type="dxa"/>
            <w:tcBorders>
              <w:top w:val="nil"/>
              <w:left w:val="nil"/>
              <w:bottom w:val="single" w:sz="6" w:space="0" w:color="auto"/>
              <w:right w:val="nil"/>
            </w:tcBorders>
          </w:tcPr>
          <w:p w:rsidR="009642AA" w:rsidRPr="006D7A96" w:rsidRDefault="009642A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38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Pr="00552C0E" w:rsidRDefault="008B04E7" w:rsidP="001E6231">
      <w:pPr>
        <w:jc w:val="center"/>
        <w:rPr>
          <w:rFonts w:ascii="Times New Roman" w:hAnsi="Times New Roman"/>
          <w:sz w:val="28"/>
          <w:szCs w:val="28"/>
        </w:rPr>
      </w:pPr>
    </w:p>
    <w:p w:rsidR="008B04E7" w:rsidRDefault="008B04E7" w:rsidP="001E6231">
      <w:pPr>
        <w:jc w:val="center"/>
        <w:rPr>
          <w:rFonts w:ascii="Times New Roman" w:hAnsi="Times New Roman"/>
          <w:szCs w:val="24"/>
        </w:rPr>
      </w:pPr>
      <w:r>
        <w:rPr>
          <w:rFonts w:ascii="Times New Roman" w:hAnsi="Times New Roman"/>
          <w:szCs w:val="24"/>
        </w:rPr>
        <w:t>Table 6 Alternative Indicator of Financial Liberalization (Interactive Institutional Effect)</w:t>
      </w:r>
    </w:p>
    <w:tbl>
      <w:tblPr>
        <w:tblW w:w="0" w:type="auto"/>
        <w:jc w:val="center"/>
        <w:tblLayout w:type="fixed"/>
        <w:tblCellMar>
          <w:left w:w="75" w:type="dxa"/>
          <w:right w:w="75" w:type="dxa"/>
        </w:tblCellMar>
        <w:tblLook w:val="0000"/>
      </w:tblPr>
      <w:tblGrid>
        <w:gridCol w:w="2700"/>
        <w:gridCol w:w="1559"/>
        <w:gridCol w:w="1559"/>
        <w:gridCol w:w="1560"/>
        <w:gridCol w:w="1530"/>
      </w:tblGrid>
      <w:tr w:rsidR="008B04E7" w:rsidRPr="006D7A96" w:rsidTr="00E220C6">
        <w:trPr>
          <w:jc w:val="center"/>
        </w:trPr>
        <w:tc>
          <w:tcPr>
            <w:tcW w:w="2700"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208" w:type="dxa"/>
            <w:gridSpan w:val="4"/>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E220C6">
        <w:trPr>
          <w:jc w:val="center"/>
        </w:trPr>
        <w:tc>
          <w:tcPr>
            <w:tcW w:w="2700"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6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53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(0.017)</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-0.093***</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-0.106***</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-0.067</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-0.120</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r>
      <w:tr w:rsidR="000A2BB5" w:rsidRPr="006D7A96" w:rsidTr="00E220C6">
        <w:trPr>
          <w:jc w:val="center"/>
        </w:trPr>
        <w:tc>
          <w:tcPr>
            <w:tcW w:w="2700"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2" type="#_x0000_t75" style="width:9pt;height:10pt" o:ole="">
                  <v:imagedata r:id="rId33" o:title=""/>
                </v:shape>
                <o:OLEObject Type="Embed" ProgID="Equation.3" ShapeID="_x0000_i1042" DrawAspect="Content" ObjectID="_1428411007" r:id="rId39"/>
              </w:object>
            </w:r>
            <w:r w:rsidRPr="000D42A0">
              <w:rPr>
                <w:rFonts w:ascii="Times New Roman" w:hAnsi="Times New Roman"/>
                <w:i/>
                <w:kern w:val="0"/>
                <w:szCs w:val="24"/>
              </w:rPr>
              <w:t xml:space="preserve"> </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3" type="#_x0000_t75" style="width:9pt;height:10pt" o:ole="">
                  <v:imagedata r:id="rId35" o:title=""/>
                </v:shape>
                <o:OLEObject Type="Embed" ProgID="Equation.3" ShapeID="_x0000_i1043" DrawAspect="Content" ObjectID="_1428411008" r:id="rId40"/>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4" type="#_x0000_t75" style="width:9pt;height:10pt" o:ole="">
                  <v:imagedata r:id="rId35" o:title=""/>
                </v:shape>
                <o:OLEObject Type="Embed" ProgID="Equation.3" ShapeID="_x0000_i1044" DrawAspect="Content" ObjectID="_1428411009" r:id="rId41"/>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bureaucracy</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5" type="#_x0000_t75" style="width:9pt;height:10pt" o:ole="">
                  <v:imagedata r:id="rId35" o:title=""/>
                </v:shape>
                <o:OLEObject Type="Embed" ProgID="Equation.3" ShapeID="_x0000_i1045" DrawAspect="Content" ObjectID="_1428411010" r:id="rId42"/>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Pr>
                <w:rFonts w:ascii="Times New Roman" w:hAnsi="Times New Roman"/>
                <w:i/>
                <w:kern w:val="0"/>
                <w:szCs w:val="24"/>
              </w:rPr>
              <w:t>l</w:t>
            </w:r>
            <w:r w:rsidRPr="000D42A0">
              <w:rPr>
                <w:rFonts w:ascii="Times New Roman" w:hAnsi="Times New Roman"/>
                <w:i/>
                <w:kern w:val="0"/>
                <w:szCs w:val="24"/>
              </w:rPr>
              <w:t>aw and order</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E220C6">
        <w:trPr>
          <w:jc w:val="center"/>
        </w:trPr>
        <w:tc>
          <w:tcPr>
            <w:tcW w:w="2700"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lastRenderedPageBreak/>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0.714***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0.693***</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0.690***</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0.777***</w:t>
            </w:r>
          </w:p>
        </w:tc>
      </w:tr>
      <w:tr w:rsidR="000A2BB5" w:rsidRPr="006D7A96" w:rsidTr="00E220C6">
        <w:trPr>
          <w:jc w:val="center"/>
        </w:trPr>
        <w:tc>
          <w:tcPr>
            <w:tcW w:w="2700"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(0.0907)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(0.091)</w:t>
            </w:r>
          </w:p>
        </w:tc>
      </w:tr>
      <w:tr w:rsidR="000A2BB5" w:rsidRPr="006D7A96" w:rsidTr="00E220C6">
        <w:trPr>
          <w:jc w:val="center"/>
        </w:trPr>
        <w:tc>
          <w:tcPr>
            <w:tcW w:w="2700"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9642AA">
        <w:tblPrEx>
          <w:tblBorders>
            <w:bottom w:val="single" w:sz="6" w:space="0" w:color="auto"/>
          </w:tblBorders>
        </w:tblPrEx>
        <w:trPr>
          <w:jc w:val="center"/>
        </w:trPr>
        <w:tc>
          <w:tcPr>
            <w:tcW w:w="2700"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0.277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0.285</w:t>
            </w:r>
          </w:p>
        </w:tc>
      </w:tr>
      <w:tr w:rsidR="009642AA" w:rsidRPr="006D7A96" w:rsidTr="00E220C6">
        <w:tblPrEx>
          <w:tblBorders>
            <w:bottom w:val="single" w:sz="6" w:space="0" w:color="auto"/>
          </w:tblBorders>
        </w:tblPrEx>
        <w:trPr>
          <w:jc w:val="center"/>
        </w:trPr>
        <w:tc>
          <w:tcPr>
            <w:tcW w:w="2700" w:type="dxa"/>
            <w:tcBorders>
              <w:top w:val="nil"/>
              <w:left w:val="nil"/>
              <w:bottom w:val="single" w:sz="6" w:space="0" w:color="auto"/>
              <w:right w:val="nil"/>
            </w:tcBorders>
          </w:tcPr>
          <w:p w:rsidR="009642AA" w:rsidRPr="006D7A96" w:rsidRDefault="009642A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9642AA" w:rsidRDefault="009642AA" w:rsidP="009642A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60" w:type="dxa"/>
            <w:tcBorders>
              <w:top w:val="nil"/>
              <w:left w:val="nil"/>
              <w:bottom w:val="single" w:sz="6" w:space="0" w:color="auto"/>
              <w:right w:val="nil"/>
            </w:tcBorders>
          </w:tcPr>
          <w:p w:rsidR="009642AA" w:rsidRDefault="009642AA" w:rsidP="009642A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30"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r>
        <w:rPr>
          <w:rFonts w:ascii="Times New Roman" w:hAnsi="Times New Roman"/>
          <w:szCs w:val="24"/>
        </w:rPr>
        <w:t>Table 7 Dynamic Model (Independent Institutional Effect)</w:t>
      </w:r>
    </w:p>
    <w:tbl>
      <w:tblPr>
        <w:tblW w:w="0" w:type="auto"/>
        <w:jc w:val="center"/>
        <w:tblLayout w:type="fixed"/>
        <w:tblCellMar>
          <w:left w:w="75" w:type="dxa"/>
          <w:right w:w="75" w:type="dxa"/>
        </w:tblCellMar>
        <w:tblLook w:val="0000"/>
      </w:tblPr>
      <w:tblGrid>
        <w:gridCol w:w="3069"/>
        <w:gridCol w:w="1701"/>
        <w:gridCol w:w="1559"/>
        <w:gridCol w:w="1559"/>
        <w:gridCol w:w="1474"/>
      </w:tblGrid>
      <w:tr w:rsidR="008B04E7" w:rsidRPr="006D7A96" w:rsidTr="00E220C6">
        <w:trPr>
          <w:jc w:val="center"/>
        </w:trPr>
        <w:tc>
          <w:tcPr>
            <w:tcW w:w="3069"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293" w:type="dxa"/>
            <w:gridSpan w:val="4"/>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E220C6">
        <w:trPr>
          <w:jc w:val="center"/>
        </w:trPr>
        <w:tc>
          <w:tcPr>
            <w:tcW w:w="3069"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701"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474"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E220C6">
        <w:trPr>
          <w:jc w:val="center"/>
        </w:trPr>
        <w:tc>
          <w:tcPr>
            <w:tcW w:w="3069" w:type="dxa"/>
            <w:tcBorders>
              <w:top w:val="nil"/>
              <w:left w:val="nil"/>
              <w:bottom w:val="nil"/>
              <w:right w:val="nil"/>
            </w:tcBorders>
          </w:tcPr>
          <w:p w:rsidR="000A2BB5" w:rsidRPr="006D7A96" w:rsidRDefault="000A2BB5" w:rsidP="00E220C6">
            <w:pPr>
              <w:autoSpaceDE w:val="0"/>
              <w:autoSpaceDN w:val="0"/>
              <w:adjustRightInd w:val="0"/>
              <w:rPr>
                <w:rFonts w:ascii="Times New Roman" w:hAnsi="Times New Roman"/>
                <w:kern w:val="0"/>
                <w:szCs w:val="24"/>
              </w:rPr>
            </w:pPr>
            <w:r w:rsidRPr="000D42A0">
              <w:rPr>
                <w:rFonts w:ascii="Times New Roman" w:hAnsi="Times New Roman"/>
                <w:i/>
                <w:kern w:val="0"/>
                <w:szCs w:val="24"/>
              </w:rPr>
              <w:t>official liberalization</w:t>
            </w:r>
            <w:r>
              <w:rPr>
                <w:rFonts w:ascii="Times New Roman" w:hAnsi="Times New Roman"/>
                <w:kern w:val="0"/>
                <w:szCs w:val="24"/>
              </w:rPr>
              <w:t xml:space="preserve"> </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0.013**</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r>
      <w:tr w:rsidR="000A2BB5" w:rsidRPr="006D7A96" w:rsidTr="00E220C6">
        <w:trPr>
          <w:jc w:val="center"/>
        </w:trPr>
        <w:tc>
          <w:tcPr>
            <w:tcW w:w="3069"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3069" w:type="dxa"/>
            <w:tcBorders>
              <w:top w:val="nil"/>
              <w:left w:val="nil"/>
              <w:bottom w:val="nil"/>
              <w:right w:val="nil"/>
            </w:tcBorders>
          </w:tcPr>
          <w:p w:rsidR="000A2BB5" w:rsidRPr="00E220C6" w:rsidRDefault="000A2BB5" w:rsidP="0058124C">
            <w:pPr>
              <w:autoSpaceDE w:val="0"/>
              <w:autoSpaceDN w:val="0"/>
              <w:adjustRightInd w:val="0"/>
              <w:rPr>
                <w:rFonts w:ascii="Times New Roman" w:hAnsi="Times New Roman"/>
                <w:i/>
                <w:kern w:val="0"/>
                <w:szCs w:val="24"/>
              </w:rPr>
            </w:pPr>
            <w:r w:rsidRPr="00E220C6">
              <w:rPr>
                <w:rFonts w:ascii="Times New Roman" w:hAnsi="Times New Roman"/>
                <w:i/>
                <w:kern w:val="0"/>
                <w:szCs w:val="24"/>
              </w:rPr>
              <w:t>L(1).growth</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0.139**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0.158***</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0.141**</w:t>
            </w:r>
          </w:p>
        </w:tc>
      </w:tr>
      <w:tr w:rsidR="000A2BB5" w:rsidRPr="006D7A96" w:rsidTr="00E220C6">
        <w:trPr>
          <w:jc w:val="center"/>
        </w:trPr>
        <w:tc>
          <w:tcPr>
            <w:tcW w:w="3069" w:type="dxa"/>
            <w:tcBorders>
              <w:top w:val="nil"/>
              <w:left w:val="nil"/>
              <w:bottom w:val="nil"/>
              <w:right w:val="nil"/>
            </w:tcBorders>
          </w:tcPr>
          <w:p w:rsidR="000A2BB5" w:rsidRPr="00E220C6" w:rsidRDefault="000A2BB5" w:rsidP="000A483C">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(0.056)</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r>
      <w:tr w:rsidR="000A2BB5" w:rsidRPr="006D7A96" w:rsidTr="00E220C6">
        <w:trPr>
          <w:jc w:val="center"/>
        </w:trPr>
        <w:tc>
          <w:tcPr>
            <w:tcW w:w="3069" w:type="dxa"/>
            <w:tcBorders>
              <w:top w:val="nil"/>
              <w:left w:val="nil"/>
              <w:bottom w:val="nil"/>
              <w:right w:val="nil"/>
            </w:tcBorders>
          </w:tcPr>
          <w:p w:rsidR="000A2BB5" w:rsidRPr="00E220C6" w:rsidRDefault="000A2BB5" w:rsidP="0058124C">
            <w:pPr>
              <w:autoSpaceDE w:val="0"/>
              <w:autoSpaceDN w:val="0"/>
              <w:adjustRightInd w:val="0"/>
              <w:rPr>
                <w:rFonts w:ascii="Times New Roman" w:hAnsi="Times New Roman"/>
                <w:i/>
                <w:kern w:val="0"/>
                <w:szCs w:val="24"/>
              </w:rPr>
            </w:pPr>
            <w:r w:rsidRPr="00E220C6">
              <w:rPr>
                <w:rFonts w:ascii="Times New Roman" w:hAnsi="Times New Roman"/>
                <w:i/>
                <w:kern w:val="0"/>
                <w:szCs w:val="24"/>
              </w:rPr>
              <w:t>L(2).growth</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0.078*</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0.068</w:t>
            </w:r>
          </w:p>
        </w:tc>
      </w:tr>
      <w:tr w:rsidR="000A2BB5" w:rsidRPr="006D7A96" w:rsidTr="00E220C6">
        <w:trPr>
          <w:jc w:val="center"/>
        </w:trPr>
        <w:tc>
          <w:tcPr>
            <w:tcW w:w="3069"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-0.105***</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-0.118***</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(0.016)</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-0.104**</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-0.098*</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-0.118**</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-0.083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-0.067</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-0.040</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(0.060)</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(0.071)</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(0.071)</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0.0490***</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r>
      <w:tr w:rsidR="000A2BB5" w:rsidRPr="006D7A96" w:rsidTr="00E220C6">
        <w:trPr>
          <w:jc w:val="center"/>
        </w:trPr>
        <w:tc>
          <w:tcPr>
            <w:tcW w:w="3069"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(0.012)</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0.00289</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(0.00265)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bureaucracy</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lastRenderedPageBreak/>
              <w:t xml:space="preserve">law </w:t>
            </w:r>
            <w:r>
              <w:rPr>
                <w:rFonts w:ascii="Times New Roman" w:hAnsi="Times New Roman"/>
                <w:i/>
                <w:kern w:val="0"/>
                <w:szCs w:val="24"/>
              </w:rPr>
              <w:t>and</w:t>
            </w:r>
            <w:r w:rsidRPr="000D42A0">
              <w:rPr>
                <w:rFonts w:ascii="Times New Roman" w:hAnsi="Times New Roman"/>
                <w:i/>
                <w:kern w:val="0"/>
                <w:szCs w:val="24"/>
              </w:rPr>
              <w:t xml:space="preserve"> order</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E220C6">
        <w:trPr>
          <w:jc w:val="center"/>
        </w:trPr>
        <w:tc>
          <w:tcPr>
            <w:tcW w:w="3069"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r>
      <w:tr w:rsidR="000A2BB5" w:rsidRPr="006D7A96" w:rsidTr="00E220C6">
        <w:trPr>
          <w:jc w:val="center"/>
        </w:trPr>
        <w:tc>
          <w:tcPr>
            <w:tcW w:w="3069"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Constant</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0.775***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0.769***</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0.843***</w:t>
            </w:r>
          </w:p>
        </w:tc>
      </w:tr>
      <w:tr w:rsidR="000A2BB5" w:rsidRPr="006D7A96" w:rsidTr="00E220C6">
        <w:trPr>
          <w:jc w:val="center"/>
        </w:trPr>
        <w:tc>
          <w:tcPr>
            <w:tcW w:w="3069"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(0.111)</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(0.098)</w:t>
            </w:r>
          </w:p>
        </w:tc>
      </w:tr>
      <w:tr w:rsidR="000A2BB5" w:rsidRPr="006D7A96" w:rsidTr="00E220C6">
        <w:trPr>
          <w:jc w:val="center"/>
        </w:trPr>
        <w:tc>
          <w:tcPr>
            <w:tcW w:w="3069"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9642AA">
        <w:tblPrEx>
          <w:tblBorders>
            <w:bottom w:val="single" w:sz="6" w:space="0" w:color="auto"/>
          </w:tblBorders>
        </w:tblPrEx>
        <w:trPr>
          <w:jc w:val="center"/>
        </w:trPr>
        <w:tc>
          <w:tcPr>
            <w:tcW w:w="3069"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701"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0.305</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0.306</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0.304</w:t>
            </w:r>
          </w:p>
        </w:tc>
        <w:tc>
          <w:tcPr>
            <w:tcW w:w="1474"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0.310</w:t>
            </w:r>
          </w:p>
        </w:tc>
      </w:tr>
      <w:tr w:rsidR="009642AA" w:rsidRPr="006D7A96" w:rsidTr="00E220C6">
        <w:tblPrEx>
          <w:tblBorders>
            <w:bottom w:val="single" w:sz="6" w:space="0" w:color="auto"/>
          </w:tblBorders>
        </w:tblPrEx>
        <w:trPr>
          <w:jc w:val="center"/>
        </w:trPr>
        <w:tc>
          <w:tcPr>
            <w:tcW w:w="3069" w:type="dxa"/>
            <w:tcBorders>
              <w:top w:val="nil"/>
              <w:left w:val="nil"/>
              <w:bottom w:val="single" w:sz="6" w:space="0" w:color="auto"/>
              <w:right w:val="nil"/>
            </w:tcBorders>
          </w:tcPr>
          <w:p w:rsidR="009642AA" w:rsidRPr="006D7A96" w:rsidRDefault="009642A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701"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474"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Pr>
        <w:jc w:val="center"/>
        <w:rPr>
          <w:rFonts w:ascii="Times New Roman" w:hAnsi="Times New Roman"/>
          <w:szCs w:val="24"/>
        </w:rPr>
      </w:pPr>
    </w:p>
    <w:p w:rsidR="008B04E7" w:rsidRDefault="008B04E7" w:rsidP="001E6231">
      <w:pPr>
        <w:jc w:val="center"/>
        <w:rPr>
          <w:rFonts w:ascii="Times New Roman" w:hAnsi="Times New Roman"/>
          <w:szCs w:val="24"/>
        </w:rPr>
      </w:pPr>
    </w:p>
    <w:p w:rsidR="008B04E7" w:rsidRPr="006B7AED" w:rsidRDefault="008B04E7" w:rsidP="001E6231">
      <w:pPr>
        <w:jc w:val="center"/>
        <w:rPr>
          <w:rFonts w:ascii="Times New Roman" w:hAnsi="Times New Roman"/>
          <w:sz w:val="28"/>
          <w:szCs w:val="28"/>
        </w:rPr>
      </w:pPr>
    </w:p>
    <w:p w:rsidR="008B04E7" w:rsidRPr="00591AF2" w:rsidRDefault="008B04E7" w:rsidP="001E6231">
      <w:pPr>
        <w:jc w:val="center"/>
        <w:rPr>
          <w:rFonts w:ascii="Times New Roman" w:hAnsi="Times New Roman"/>
          <w:sz w:val="28"/>
          <w:szCs w:val="28"/>
        </w:rPr>
      </w:pPr>
      <w:r>
        <w:rPr>
          <w:rFonts w:ascii="Times New Roman" w:hAnsi="Times New Roman"/>
          <w:szCs w:val="24"/>
        </w:rPr>
        <w:t>Table 8 Dynamic Model (Interactive Institutional Effect)</w:t>
      </w:r>
    </w:p>
    <w:tbl>
      <w:tblPr>
        <w:tblW w:w="0" w:type="auto"/>
        <w:jc w:val="center"/>
        <w:tblLayout w:type="fixed"/>
        <w:tblCellMar>
          <w:left w:w="75" w:type="dxa"/>
          <w:right w:w="75" w:type="dxa"/>
        </w:tblCellMar>
        <w:tblLook w:val="0000"/>
      </w:tblPr>
      <w:tblGrid>
        <w:gridCol w:w="2842"/>
        <w:gridCol w:w="1559"/>
        <w:gridCol w:w="1417"/>
        <w:gridCol w:w="1560"/>
        <w:gridCol w:w="1530"/>
      </w:tblGrid>
      <w:tr w:rsidR="008B04E7" w:rsidRPr="006D7A96" w:rsidTr="00E220C6">
        <w:trPr>
          <w:jc w:val="center"/>
        </w:trPr>
        <w:tc>
          <w:tcPr>
            <w:tcW w:w="2842" w:type="dxa"/>
            <w:tcBorders>
              <w:top w:val="single" w:sz="6" w:space="0" w:color="auto"/>
              <w:left w:val="nil"/>
              <w:bottom w:val="nil"/>
              <w:right w:val="nil"/>
            </w:tcBorders>
          </w:tcPr>
          <w:p w:rsidR="008B04E7" w:rsidRPr="006D7A96" w:rsidRDefault="008B04E7" w:rsidP="000A483C">
            <w:pPr>
              <w:autoSpaceDE w:val="0"/>
              <w:autoSpaceDN w:val="0"/>
              <w:adjustRightInd w:val="0"/>
              <w:rPr>
                <w:rFonts w:ascii="Times New Roman" w:hAnsi="Times New Roman"/>
                <w:kern w:val="0"/>
                <w:szCs w:val="24"/>
              </w:rPr>
            </w:pPr>
          </w:p>
        </w:tc>
        <w:tc>
          <w:tcPr>
            <w:tcW w:w="6066" w:type="dxa"/>
            <w:gridSpan w:val="4"/>
            <w:tcBorders>
              <w:top w:val="single" w:sz="6" w:space="0" w:color="auto"/>
              <w:left w:val="nil"/>
              <w:bottom w:val="single" w:sz="4"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Difference in Difference Estimates</w:t>
            </w:r>
          </w:p>
        </w:tc>
      </w:tr>
      <w:tr w:rsidR="008B04E7" w:rsidRPr="006D7A96" w:rsidTr="00E220C6">
        <w:trPr>
          <w:jc w:val="center"/>
        </w:trPr>
        <w:tc>
          <w:tcPr>
            <w:tcW w:w="2842" w:type="dxa"/>
            <w:tcBorders>
              <w:top w:val="nil"/>
              <w:left w:val="nil"/>
              <w:bottom w:val="single" w:sz="6" w:space="0" w:color="auto"/>
              <w:right w:val="nil"/>
            </w:tcBorders>
          </w:tcPr>
          <w:p w:rsidR="008B04E7" w:rsidRPr="006D7A96" w:rsidRDefault="008B04E7"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VARIABLES</w:t>
            </w:r>
          </w:p>
        </w:tc>
        <w:tc>
          <w:tcPr>
            <w:tcW w:w="1559"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(1)</w:t>
            </w:r>
          </w:p>
        </w:tc>
        <w:tc>
          <w:tcPr>
            <w:tcW w:w="1417"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(2)</w:t>
            </w:r>
          </w:p>
        </w:tc>
        <w:tc>
          <w:tcPr>
            <w:tcW w:w="156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(3)</w:t>
            </w:r>
          </w:p>
        </w:tc>
        <w:tc>
          <w:tcPr>
            <w:tcW w:w="1530" w:type="dxa"/>
            <w:tcBorders>
              <w:top w:val="single" w:sz="4" w:space="0" w:color="auto"/>
              <w:left w:val="nil"/>
              <w:bottom w:val="single" w:sz="6" w:space="0" w:color="auto"/>
              <w:right w:val="nil"/>
            </w:tcBorders>
          </w:tcPr>
          <w:p w:rsidR="008B04E7" w:rsidRPr="006D7A96" w:rsidRDefault="008B04E7" w:rsidP="000A483C">
            <w:pPr>
              <w:autoSpaceDE w:val="0"/>
              <w:autoSpaceDN w:val="0"/>
              <w:adjustRightInd w:val="0"/>
              <w:jc w:val="center"/>
              <w:rPr>
                <w:rFonts w:ascii="Times New Roman" w:hAnsi="Times New Roman"/>
                <w:kern w:val="0"/>
                <w:szCs w:val="24"/>
              </w:rPr>
            </w:pPr>
            <w:r w:rsidRPr="006D7A96">
              <w:rPr>
                <w:rFonts w:ascii="Times New Roman" w:hAnsi="Times New Roman"/>
                <w:kern w:val="0"/>
                <w:szCs w:val="24"/>
              </w:rPr>
              <w:t>(4)</w:t>
            </w:r>
          </w:p>
        </w:tc>
      </w:tr>
      <w:tr w:rsidR="000A2BB5" w:rsidRPr="006D7A96" w:rsidTr="00E220C6">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r w:rsidRPr="000D42A0">
              <w:rPr>
                <w:rFonts w:ascii="Times New Roman" w:hAnsi="Times New Roman"/>
                <w:i/>
                <w:kern w:val="0"/>
                <w:szCs w:val="24"/>
              </w:rPr>
              <w:t>official liberalization</w:t>
            </w:r>
            <w:r>
              <w:rPr>
                <w:rFonts w:ascii="Times New Roman" w:hAnsi="Times New Roman"/>
                <w:kern w:val="0"/>
                <w:szCs w:val="24"/>
              </w:rPr>
              <w:t xml:space="preserve"> </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-0.019</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r>
      <w:tr w:rsidR="000A2BB5" w:rsidRPr="006D7A96" w:rsidTr="00E220C6">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(0.017)</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(0.010)</w:t>
            </w:r>
          </w:p>
        </w:tc>
      </w:tr>
      <w:tr w:rsidR="000A2BB5" w:rsidRPr="006D7A96" w:rsidTr="00E220C6">
        <w:trPr>
          <w:jc w:val="center"/>
        </w:trPr>
        <w:tc>
          <w:tcPr>
            <w:tcW w:w="2842" w:type="dxa"/>
            <w:tcBorders>
              <w:top w:val="nil"/>
              <w:left w:val="nil"/>
              <w:bottom w:val="nil"/>
              <w:right w:val="nil"/>
            </w:tcBorders>
          </w:tcPr>
          <w:p w:rsidR="000A2BB5" w:rsidRPr="00E220C6" w:rsidRDefault="000A2BB5" w:rsidP="0095363F">
            <w:pPr>
              <w:autoSpaceDE w:val="0"/>
              <w:autoSpaceDN w:val="0"/>
              <w:adjustRightInd w:val="0"/>
              <w:rPr>
                <w:rFonts w:ascii="Times New Roman" w:hAnsi="Times New Roman"/>
                <w:i/>
                <w:kern w:val="0"/>
                <w:szCs w:val="24"/>
              </w:rPr>
            </w:pPr>
            <w:r w:rsidRPr="00E220C6">
              <w:rPr>
                <w:rFonts w:ascii="Times New Roman" w:hAnsi="Times New Roman"/>
                <w:i/>
                <w:kern w:val="0"/>
                <w:szCs w:val="24"/>
              </w:rPr>
              <w:t>L(1).growth</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0.140**</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0.157***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0.146**</w:t>
            </w:r>
          </w:p>
        </w:tc>
      </w:tr>
      <w:tr w:rsidR="000A2BB5" w:rsidRPr="006D7A96" w:rsidTr="00E220C6">
        <w:trPr>
          <w:jc w:val="center"/>
        </w:trPr>
        <w:tc>
          <w:tcPr>
            <w:tcW w:w="2842" w:type="dxa"/>
            <w:tcBorders>
              <w:top w:val="nil"/>
              <w:left w:val="nil"/>
              <w:bottom w:val="nil"/>
              <w:right w:val="nil"/>
            </w:tcBorders>
          </w:tcPr>
          <w:p w:rsidR="000A2BB5" w:rsidRPr="00E220C6"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(0.058)</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r>
      <w:tr w:rsidR="000A2BB5" w:rsidRPr="006D7A96" w:rsidTr="00E220C6">
        <w:trPr>
          <w:jc w:val="center"/>
        </w:trPr>
        <w:tc>
          <w:tcPr>
            <w:tcW w:w="2842" w:type="dxa"/>
            <w:tcBorders>
              <w:top w:val="nil"/>
              <w:left w:val="nil"/>
              <w:bottom w:val="nil"/>
              <w:right w:val="nil"/>
            </w:tcBorders>
          </w:tcPr>
          <w:p w:rsidR="000A2BB5" w:rsidRPr="00E220C6" w:rsidRDefault="000A2BB5" w:rsidP="0095363F">
            <w:pPr>
              <w:autoSpaceDE w:val="0"/>
              <w:autoSpaceDN w:val="0"/>
              <w:adjustRightInd w:val="0"/>
              <w:rPr>
                <w:rFonts w:ascii="Times New Roman" w:hAnsi="Times New Roman"/>
                <w:i/>
                <w:kern w:val="0"/>
                <w:szCs w:val="24"/>
              </w:rPr>
            </w:pPr>
            <w:r w:rsidRPr="00E220C6">
              <w:rPr>
                <w:rFonts w:ascii="Times New Roman" w:hAnsi="Times New Roman"/>
                <w:i/>
                <w:kern w:val="0"/>
                <w:szCs w:val="24"/>
              </w:rPr>
              <w:t>L(2).growth</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0.074</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0.079*</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0.071</w:t>
            </w:r>
          </w:p>
        </w:tc>
      </w:tr>
      <w:tr w:rsidR="000A2BB5" w:rsidRPr="006D7A96" w:rsidTr="00E220C6">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(0.046)</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initial income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-0.105***</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-0.115***</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(0.015)</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(0.014)</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investment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-0.111**</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-0.112**</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(0.047)</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(0.049)</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government consumption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-0.092</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-0.052</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(0.061)</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(0.072)</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(0.072)</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(0.073)</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schooling</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0.000</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inflation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-0.008</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-0.009</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(0.006)</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open</w:t>
            </w:r>
            <w:r>
              <w:rPr>
                <w:rFonts w:ascii="Times New Roman" w:hAnsi="Times New Roman"/>
                <w:i/>
                <w:kern w:val="0"/>
                <w:szCs w:val="24"/>
              </w:rPr>
              <w:t>ness</w:t>
            </w:r>
            <w:r w:rsidRPr="000D42A0">
              <w:rPr>
                <w:rFonts w:ascii="Times New Roman" w:hAnsi="Times New Roman"/>
                <w:i/>
                <w:kern w:val="0"/>
                <w:szCs w:val="24"/>
              </w:rPr>
              <w:t xml:space="preserve"> to trade</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0.055***</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0.053***</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0.050***</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0.054***</w:t>
            </w:r>
          </w:p>
        </w:tc>
      </w:tr>
      <w:tr w:rsidR="000A2BB5" w:rsidRPr="006D7A96" w:rsidTr="00E220C6">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(0.011)</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6" type="#_x0000_t75" style="width:9pt;height:10pt" o:ole="">
                  <v:imagedata r:id="rId33" o:title=""/>
                </v:shape>
                <o:OLEObject Type="Embed" ProgID="Equation.3" ShapeID="_x0000_i1046" DrawAspect="Content" ObjectID="_1428411011" r:id="rId43"/>
              </w:object>
            </w:r>
            <w:r w:rsidRPr="000D42A0">
              <w:rPr>
                <w:rFonts w:ascii="Times New Roman" w:hAnsi="Times New Roman"/>
                <w:i/>
                <w:kern w:val="0"/>
                <w:szCs w:val="24"/>
              </w:rPr>
              <w:t xml:space="preserve"> </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institution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(0.002)</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7" type="#_x0000_t75" style="width:9pt;height:10pt" o:ole="">
                  <v:imagedata r:id="rId35" o:title=""/>
                </v:shape>
                <o:OLEObject Type="Embed" ProgID="Equation.3" ShapeID="_x0000_i1047" DrawAspect="Content" ObjectID="_1428411012" r:id="rId44"/>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0.007</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corruption</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8" type="#_x0000_t75" style="width:9pt;height:10pt" o:ole="">
                  <v:imagedata r:id="rId35" o:title=""/>
                </v:shape>
                <o:OLEObject Type="Embed" ProgID="Equation.3" ShapeID="_x0000_i1048" DrawAspect="Content" ObjectID="_1428411013" r:id="rId45"/>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lastRenderedPageBreak/>
              <w:t>bureaucracy</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official liberalization</w:t>
            </w:r>
            <w:r w:rsidRPr="000D42A0">
              <w:rPr>
                <w:rFonts w:ascii="Times New Roman" w:hAnsi="Times New Roman"/>
                <w:i/>
                <w:kern w:val="0"/>
                <w:position w:val="-4"/>
                <w:szCs w:val="24"/>
              </w:rPr>
              <w:object w:dxaOrig="180" w:dyaOrig="200">
                <v:shape id="_x0000_i1049" type="#_x0000_t75" style="width:9pt;height:10pt" o:ole="">
                  <v:imagedata r:id="rId35" o:title=""/>
                </v:shape>
                <o:OLEObject Type="Embed" ProgID="Equation.3" ShapeID="_x0000_i1049" DrawAspect="Content" ObjectID="_1428411014" r:id="rId46"/>
              </w:objec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0.005**</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Pr>
                <w:rFonts w:ascii="Times New Roman" w:hAnsi="Times New Roman"/>
                <w:i/>
                <w:kern w:val="0"/>
                <w:szCs w:val="24"/>
              </w:rPr>
              <w:t>l</w:t>
            </w:r>
            <w:r w:rsidRPr="000D42A0">
              <w:rPr>
                <w:rFonts w:ascii="Times New Roman" w:hAnsi="Times New Roman"/>
                <w:i/>
                <w:kern w:val="0"/>
                <w:szCs w:val="24"/>
              </w:rPr>
              <w:t>aw and order</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(0.003)</w:t>
            </w:r>
          </w:p>
        </w:tc>
      </w:tr>
      <w:tr w:rsidR="000A2BB5" w:rsidRPr="006D7A96" w:rsidTr="00E220C6">
        <w:trPr>
          <w:jc w:val="center"/>
        </w:trPr>
        <w:tc>
          <w:tcPr>
            <w:tcW w:w="2842" w:type="dxa"/>
            <w:tcBorders>
              <w:top w:val="nil"/>
              <w:left w:val="nil"/>
              <w:bottom w:val="nil"/>
              <w:right w:val="nil"/>
            </w:tcBorders>
          </w:tcPr>
          <w:p w:rsidR="000A2BB5" w:rsidRPr="000D42A0" w:rsidRDefault="000A2BB5" w:rsidP="0095363F">
            <w:pPr>
              <w:autoSpaceDE w:val="0"/>
              <w:autoSpaceDN w:val="0"/>
              <w:adjustRightInd w:val="0"/>
              <w:rPr>
                <w:rFonts w:ascii="Times New Roman" w:hAnsi="Times New Roman"/>
                <w:i/>
                <w:kern w:val="0"/>
                <w:szCs w:val="24"/>
              </w:rPr>
            </w:pPr>
            <w:r w:rsidRPr="000D42A0">
              <w:rPr>
                <w:rFonts w:ascii="Times New Roman" w:hAnsi="Times New Roman"/>
                <w:i/>
                <w:kern w:val="0"/>
                <w:szCs w:val="24"/>
              </w:rPr>
              <w:t>Constant</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0.780***</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0.764***</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0.764***</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0.838***</w:t>
            </w:r>
          </w:p>
        </w:tc>
      </w:tr>
      <w:tr w:rsidR="000A2BB5" w:rsidRPr="006D7A96" w:rsidTr="00E220C6">
        <w:trPr>
          <w:jc w:val="center"/>
        </w:trPr>
        <w:tc>
          <w:tcPr>
            <w:tcW w:w="2842" w:type="dxa"/>
            <w:tcBorders>
              <w:top w:val="nil"/>
              <w:left w:val="nil"/>
              <w:bottom w:val="nil"/>
              <w:right w:val="nil"/>
            </w:tcBorders>
          </w:tcPr>
          <w:p w:rsidR="000A2BB5" w:rsidRPr="006D7A96" w:rsidRDefault="000A2BB5" w:rsidP="0095363F">
            <w:pPr>
              <w:autoSpaceDE w:val="0"/>
              <w:autoSpaceDN w:val="0"/>
              <w:adjustRightInd w:val="0"/>
              <w:rPr>
                <w:rFonts w:ascii="Times New Roman" w:hAnsi="Times New Roman"/>
                <w:kern w:val="0"/>
                <w:szCs w:val="24"/>
              </w:rPr>
            </w:pP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(0.106)</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(0.108)</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(0.101)</w:t>
            </w:r>
          </w:p>
        </w:tc>
      </w:tr>
      <w:tr w:rsidR="000A2BB5" w:rsidRPr="006D7A96" w:rsidTr="00E220C6">
        <w:trPr>
          <w:jc w:val="center"/>
        </w:trPr>
        <w:tc>
          <w:tcPr>
            <w:tcW w:w="2842"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Observations</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972</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966</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967</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946</w:t>
            </w:r>
          </w:p>
        </w:tc>
      </w:tr>
      <w:tr w:rsidR="000A2BB5" w:rsidRPr="006D7A96" w:rsidTr="009642AA">
        <w:tblPrEx>
          <w:tblBorders>
            <w:bottom w:val="single" w:sz="6" w:space="0" w:color="auto"/>
          </w:tblBorders>
        </w:tblPrEx>
        <w:trPr>
          <w:jc w:val="center"/>
        </w:trPr>
        <w:tc>
          <w:tcPr>
            <w:tcW w:w="2842" w:type="dxa"/>
            <w:tcBorders>
              <w:top w:val="nil"/>
              <w:left w:val="nil"/>
              <w:bottom w:val="nil"/>
              <w:right w:val="nil"/>
            </w:tcBorders>
          </w:tcPr>
          <w:p w:rsidR="000A2BB5" w:rsidRPr="006D7A96" w:rsidRDefault="000A2BB5" w:rsidP="000A483C">
            <w:pPr>
              <w:autoSpaceDE w:val="0"/>
              <w:autoSpaceDN w:val="0"/>
              <w:adjustRightInd w:val="0"/>
              <w:rPr>
                <w:rFonts w:ascii="Times New Roman" w:hAnsi="Times New Roman"/>
                <w:kern w:val="0"/>
                <w:szCs w:val="24"/>
              </w:rPr>
            </w:pPr>
            <w:r w:rsidRPr="006D7A96">
              <w:rPr>
                <w:rFonts w:ascii="Times New Roman" w:hAnsi="Times New Roman"/>
                <w:kern w:val="0"/>
                <w:szCs w:val="24"/>
              </w:rPr>
              <w:t>R-squared</w:t>
            </w:r>
          </w:p>
        </w:tc>
        <w:tc>
          <w:tcPr>
            <w:tcW w:w="1559"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0.308</w:t>
            </w:r>
          </w:p>
        </w:tc>
        <w:tc>
          <w:tcPr>
            <w:tcW w:w="1417"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0.309</w:t>
            </w:r>
          </w:p>
        </w:tc>
        <w:tc>
          <w:tcPr>
            <w:tcW w:w="156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0.303</w:t>
            </w:r>
          </w:p>
        </w:tc>
        <w:tc>
          <w:tcPr>
            <w:tcW w:w="1530" w:type="dxa"/>
            <w:tcBorders>
              <w:top w:val="nil"/>
              <w:left w:val="nil"/>
              <w:bottom w:val="nil"/>
              <w:right w:val="nil"/>
            </w:tcBorders>
          </w:tcPr>
          <w:p w:rsidR="000A2BB5" w:rsidRDefault="000A2BB5" w:rsidP="001B2ABA">
            <w:pPr>
              <w:autoSpaceDE w:val="0"/>
              <w:autoSpaceDN w:val="0"/>
              <w:adjustRightInd w:val="0"/>
              <w:jc w:val="center"/>
              <w:rPr>
                <w:rFonts w:ascii="Times New Roman" w:hAnsi="Times New Roman"/>
                <w:kern w:val="0"/>
                <w:szCs w:val="24"/>
              </w:rPr>
            </w:pPr>
            <w:r>
              <w:rPr>
                <w:rFonts w:ascii="Times New Roman" w:hAnsi="Times New Roman"/>
                <w:kern w:val="0"/>
                <w:szCs w:val="24"/>
              </w:rPr>
              <w:t>0.306</w:t>
            </w:r>
          </w:p>
        </w:tc>
      </w:tr>
      <w:tr w:rsidR="009642AA" w:rsidRPr="006D7A96" w:rsidTr="00E220C6">
        <w:tblPrEx>
          <w:tblBorders>
            <w:bottom w:val="single" w:sz="6" w:space="0" w:color="auto"/>
          </w:tblBorders>
        </w:tblPrEx>
        <w:trPr>
          <w:jc w:val="center"/>
        </w:trPr>
        <w:tc>
          <w:tcPr>
            <w:tcW w:w="2842" w:type="dxa"/>
            <w:tcBorders>
              <w:top w:val="nil"/>
              <w:left w:val="nil"/>
              <w:bottom w:val="single" w:sz="6" w:space="0" w:color="auto"/>
              <w:right w:val="nil"/>
            </w:tcBorders>
          </w:tcPr>
          <w:p w:rsidR="009642AA" w:rsidRPr="006D7A96" w:rsidRDefault="009642AA" w:rsidP="000A483C">
            <w:pPr>
              <w:autoSpaceDE w:val="0"/>
              <w:autoSpaceDN w:val="0"/>
              <w:adjustRightInd w:val="0"/>
              <w:rPr>
                <w:rFonts w:ascii="Times New Roman" w:hAnsi="Times New Roman"/>
                <w:kern w:val="0"/>
                <w:szCs w:val="24"/>
              </w:rPr>
            </w:pPr>
            <w:r>
              <w:rPr>
                <w:rFonts w:ascii="Times New Roman" w:hAnsi="Times New Roman" w:hint="eastAsia"/>
                <w:kern w:val="0"/>
                <w:szCs w:val="24"/>
              </w:rPr>
              <w:t>Number of countries</w:t>
            </w:r>
          </w:p>
        </w:tc>
        <w:tc>
          <w:tcPr>
            <w:tcW w:w="1559"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417"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60"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51</w:t>
            </w:r>
          </w:p>
        </w:tc>
        <w:tc>
          <w:tcPr>
            <w:tcW w:w="1530" w:type="dxa"/>
            <w:tcBorders>
              <w:top w:val="nil"/>
              <w:left w:val="nil"/>
              <w:bottom w:val="single" w:sz="6" w:space="0" w:color="auto"/>
              <w:right w:val="nil"/>
            </w:tcBorders>
          </w:tcPr>
          <w:p w:rsidR="009642AA" w:rsidRDefault="009642AA" w:rsidP="001B2ABA">
            <w:pPr>
              <w:autoSpaceDE w:val="0"/>
              <w:autoSpaceDN w:val="0"/>
              <w:adjustRightInd w:val="0"/>
              <w:jc w:val="center"/>
              <w:rPr>
                <w:rFonts w:ascii="Times New Roman" w:hAnsi="Times New Roman"/>
                <w:kern w:val="0"/>
                <w:szCs w:val="24"/>
              </w:rPr>
            </w:pPr>
            <w:r>
              <w:rPr>
                <w:rFonts w:ascii="Times New Roman" w:hAnsi="Times New Roman" w:hint="eastAsia"/>
                <w:kern w:val="0"/>
                <w:szCs w:val="24"/>
              </w:rPr>
              <w:t>50</w:t>
            </w:r>
          </w:p>
        </w:tc>
      </w:tr>
    </w:tbl>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Robust standard errors in parentheses</w:t>
      </w:r>
    </w:p>
    <w:p w:rsidR="008B04E7" w:rsidRDefault="008B04E7" w:rsidP="001E6231">
      <w:pPr>
        <w:autoSpaceDE w:val="0"/>
        <w:autoSpaceDN w:val="0"/>
        <w:adjustRightInd w:val="0"/>
        <w:jc w:val="center"/>
        <w:rPr>
          <w:rFonts w:ascii="Times New Roman" w:hAnsi="Times New Roman"/>
          <w:kern w:val="0"/>
          <w:szCs w:val="24"/>
        </w:rPr>
      </w:pPr>
      <w:r>
        <w:rPr>
          <w:rFonts w:ascii="Times New Roman" w:hAnsi="Times New Roman"/>
          <w:kern w:val="0"/>
          <w:szCs w:val="24"/>
        </w:rPr>
        <w:t>*** p&lt;0.01, ** p&lt;0.05, * p&lt;0.1</w:t>
      </w:r>
    </w:p>
    <w:p w:rsidR="008B04E7" w:rsidRDefault="008B04E7" w:rsidP="001E6231"/>
    <w:p w:rsidR="008B04E7" w:rsidRDefault="008B04E7" w:rsidP="001E6231">
      <w:pPr>
        <w:rPr>
          <w:rFonts w:ascii="Times New Roman" w:hAnsi="Times New Roman"/>
          <w:sz w:val="20"/>
          <w:szCs w:val="20"/>
        </w:rPr>
      </w:pPr>
      <w:r>
        <w:rPr>
          <w:rFonts w:ascii="Times New Roman" w:hAnsi="Times New Roman"/>
          <w:sz w:val="20"/>
          <w:szCs w:val="20"/>
        </w:rPr>
        <w:t>Appendix:</w:t>
      </w:r>
    </w:p>
    <w:p w:rsidR="008B04E7" w:rsidRPr="002C1F29" w:rsidRDefault="008B04E7" w:rsidP="001E6231">
      <w:pPr>
        <w:rPr>
          <w:rFonts w:ascii="Times New Roman" w:hAnsi="Times New Roman"/>
          <w:sz w:val="20"/>
          <w:szCs w:val="20"/>
        </w:rPr>
      </w:pPr>
    </w:p>
    <w:tbl>
      <w:tblPr>
        <w:tblW w:w="4938" w:type="pct"/>
        <w:tblInd w:w="107" w:type="dxa"/>
        <w:tblLook w:val="00A0"/>
      </w:tblPr>
      <w:tblGrid>
        <w:gridCol w:w="4096"/>
        <w:gridCol w:w="2871"/>
        <w:gridCol w:w="2871"/>
      </w:tblGrid>
      <w:tr w:rsidR="008B04E7" w:rsidRPr="002C1F29" w:rsidTr="002C1F29">
        <w:tc>
          <w:tcPr>
            <w:tcW w:w="2082" w:type="pct"/>
            <w:tcBorders>
              <w:top w:val="single" w:sz="4" w:space="0" w:color="auto"/>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Countries</w:t>
            </w:r>
          </w:p>
        </w:tc>
        <w:tc>
          <w:tcPr>
            <w:tcW w:w="1459" w:type="pct"/>
            <w:tcBorders>
              <w:top w:val="single" w:sz="4" w:space="0" w:color="auto"/>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Pr>
                <w:rFonts w:ascii="Times New Roman" w:eastAsia="AdvTimes" w:hAnsi="Times New Roman"/>
                <w:kern w:val="0"/>
                <w:sz w:val="20"/>
                <w:szCs w:val="20"/>
              </w:rPr>
              <w:t>L</w:t>
            </w:r>
            <w:r w:rsidRPr="002C1F29">
              <w:rPr>
                <w:rFonts w:ascii="Times New Roman" w:eastAsia="AdvTimes" w:hAnsi="Times New Roman"/>
                <w:kern w:val="0"/>
                <w:sz w:val="20"/>
                <w:szCs w:val="20"/>
              </w:rPr>
              <w:t>iberalization indicator</w:t>
            </w:r>
          </w:p>
        </w:tc>
        <w:tc>
          <w:tcPr>
            <w:tcW w:w="1459" w:type="pct"/>
            <w:tcBorders>
              <w:top w:val="single" w:sz="4" w:space="0" w:color="auto"/>
              <w:bottom w:val="single" w:sz="4" w:space="0" w:color="auto"/>
            </w:tcBorders>
          </w:tcPr>
          <w:p w:rsidR="008B04E7" w:rsidRPr="002C1F29" w:rsidRDefault="008B04E7" w:rsidP="000A483C">
            <w:pPr>
              <w:spacing w:line="360" w:lineRule="auto"/>
              <w:rPr>
                <w:rFonts w:ascii="Times New Roman" w:eastAsia="AdvTimes" w:hAnsi="Times New Roman"/>
                <w:kern w:val="0"/>
                <w:sz w:val="20"/>
                <w:szCs w:val="20"/>
              </w:rPr>
            </w:pPr>
            <w:r w:rsidRPr="002C1F29">
              <w:rPr>
                <w:rFonts w:ascii="Times New Roman" w:eastAsia="AdvTimes" w:hAnsi="Times New Roman"/>
                <w:kern w:val="0"/>
                <w:sz w:val="20"/>
                <w:szCs w:val="20"/>
              </w:rPr>
              <w:t>First sign</w:t>
            </w:r>
          </w:p>
        </w:tc>
      </w:tr>
      <w:tr w:rsidR="008B04E7" w:rsidRPr="002C1F29" w:rsidTr="002C1F29">
        <w:tc>
          <w:tcPr>
            <w:tcW w:w="2082" w:type="pct"/>
            <w:tcBorders>
              <w:top w:val="single" w:sz="4" w:space="0" w:color="auto"/>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Panel A: Developed Countries</w:t>
            </w:r>
          </w:p>
        </w:tc>
        <w:tc>
          <w:tcPr>
            <w:tcW w:w="1459"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p>
        </w:tc>
        <w:tc>
          <w:tcPr>
            <w:tcW w:w="1459"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p>
        </w:tc>
      </w:tr>
      <w:tr w:rsidR="008B04E7" w:rsidRPr="002C1F29" w:rsidTr="002C1F29">
        <w:tc>
          <w:tcPr>
            <w:tcW w:w="2082"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Australia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Austria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Canada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Denmark</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Finland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France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Germany</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Greece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Iceland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Ireland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Japan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1983</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Netherland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New Zealand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Pr>
                <w:rFonts w:ascii="Times New Roman" w:eastAsia="標楷體" w:hAnsi="Times New Roman"/>
                <w:color w:val="000000"/>
                <w:sz w:val="20"/>
                <w:szCs w:val="20"/>
              </w:rPr>
              <w:t>Norway</w:t>
            </w:r>
          </w:p>
        </w:tc>
        <w:tc>
          <w:tcPr>
            <w:tcW w:w="1459" w:type="pct"/>
          </w:tcPr>
          <w:p w:rsidR="008B04E7" w:rsidRPr="002C1F29" w:rsidRDefault="008B04E7" w:rsidP="00D960F2">
            <w:pPr>
              <w:numPr>
                <w:ilvl w:val="0"/>
                <w:numId w:val="2"/>
              </w:numPr>
              <w:spacing w:line="360" w:lineRule="auto"/>
              <w:rPr>
                <w:rFonts w:ascii="Times New Roman" w:eastAsia="標楷體" w:hAnsi="Times New Roman"/>
                <w:color w:val="000000"/>
                <w:sz w:val="20"/>
                <w:szCs w:val="20"/>
              </w:rPr>
            </w:pP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Portugal</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1986</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1986</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lastRenderedPageBreak/>
              <w:t>Spain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Sweden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Switzerland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Turkey</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United Kingdom</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United States</w:t>
            </w:r>
          </w:p>
        </w:tc>
        <w:tc>
          <w:tcPr>
            <w:tcW w:w="1459"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Borders>
              <w:top w:val="single" w:sz="4" w:space="0" w:color="auto"/>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Panel B: Developing Countries</w:t>
            </w:r>
          </w:p>
        </w:tc>
        <w:tc>
          <w:tcPr>
            <w:tcW w:w="1459"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p>
        </w:tc>
        <w:tc>
          <w:tcPr>
            <w:tcW w:w="1459"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p>
        </w:tc>
      </w:tr>
      <w:tr w:rsidR="008B04E7" w:rsidRPr="002C1F29" w:rsidTr="000A483C">
        <w:tc>
          <w:tcPr>
            <w:tcW w:w="2082" w:type="pct"/>
            <w:tcBorders>
              <w:top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Algeria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Argentina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Bangladesh</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Barbados</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Benin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pStyle w:val="3"/>
              <w:shd w:val="clear" w:color="auto" w:fill="FFFFFF"/>
              <w:spacing w:before="0" w:beforeAutospacing="0" w:after="0" w:afterAutospacing="0"/>
              <w:rPr>
                <w:rFonts w:ascii="Times New Roman" w:eastAsia="標楷體" w:hAnsi="Times New Roman" w:cs="Times New Roman"/>
                <w:b w:val="0"/>
                <w:bCs w:val="0"/>
                <w:color w:val="000000"/>
                <w:sz w:val="20"/>
                <w:szCs w:val="20"/>
              </w:rPr>
            </w:pPr>
            <w:r w:rsidRPr="002C1F29">
              <w:rPr>
                <w:rFonts w:ascii="Times New Roman" w:eastAsia="標楷體" w:hAnsi="Times New Roman" w:cs="Times New Roman"/>
                <w:b w:val="0"/>
                <w:color w:val="000000"/>
                <w:sz w:val="20"/>
                <w:szCs w:val="20"/>
              </w:rPr>
              <w:t>Burkina Faso</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Brazil</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Central African Republic</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Chile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Chad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Cote d'Ivoire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Cameroon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Congo</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Colombia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Costa Rica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Dominican Republic</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Ecuador</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1994</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1994</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Egypt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lastRenderedPageBreak/>
              <w:t>El Salvador</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Fiji</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Gabon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Ghana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1993</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1993</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Gambia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Guatemala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Guyana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Honduras</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Indonesia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India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1986</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Iran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Israel</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1993</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Jamaica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Jordan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Kenya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Korea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1984</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Morocco</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1988</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1988</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Madagascar</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Mexico</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Mali</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Malta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Mauritius</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1994</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1994</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Malawi</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Malaysia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1988</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1988</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Niger</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lastRenderedPageBreak/>
              <w:t>Nigeria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Nicaragua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Nepal</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Oman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1999</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Pakistan</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Peru</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1992</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Philippines</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Paraguay</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Rwanda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Saudi Arabia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1999</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Senegal</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Singapore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1900</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1900</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Sierra Leone</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Sri Lanka</w:t>
            </w:r>
            <w:r w:rsidRPr="002C1F29">
              <w:rPr>
                <w:rFonts w:ascii="Times New Roman" w:eastAsia="標楷體" w:hAnsi="Times New Roman"/>
                <w:color w:val="000000"/>
                <w:sz w:val="20"/>
                <w:szCs w:val="20"/>
              </w:rPr>
              <w:tab/>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1991</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Syria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South Africa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1996</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1994</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Togo</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Thailand</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1987</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1985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Trinidad and Tobago</w:t>
            </w:r>
          </w:p>
        </w:tc>
        <w:tc>
          <w:tcPr>
            <w:tcW w:w="1459" w:type="pct"/>
          </w:tcPr>
          <w:p w:rsidR="008B04E7" w:rsidRPr="002C1F29" w:rsidRDefault="008B04E7" w:rsidP="000A483C">
            <w:pPr>
              <w:spacing w:line="360" w:lineRule="auto"/>
              <w:rPr>
                <w:rFonts w:ascii="Times New Roman" w:eastAsia="標楷體" w:hAnsi="Times New Roman"/>
                <w:color w:val="000000"/>
                <w:sz w:val="20"/>
                <w:szCs w:val="20"/>
                <w:shd w:val="clear" w:color="auto" w:fill="FFFFFF"/>
              </w:rPr>
            </w:pPr>
            <w:r w:rsidRPr="002C1F29">
              <w:rPr>
                <w:rFonts w:ascii="Times New Roman" w:eastAsia="標楷體" w:hAnsi="Times New Roman"/>
                <w:color w:val="000000"/>
                <w:sz w:val="20"/>
                <w:szCs w:val="20"/>
                <w:shd w:val="clear" w:color="auto" w:fill="FFFFFF"/>
              </w:rPr>
              <w:t>1997</w:t>
            </w:r>
          </w:p>
        </w:tc>
        <w:tc>
          <w:tcPr>
            <w:tcW w:w="1459" w:type="pct"/>
          </w:tcPr>
          <w:p w:rsidR="008B04E7" w:rsidRPr="002C1F29" w:rsidRDefault="008B04E7" w:rsidP="000A483C">
            <w:pPr>
              <w:spacing w:line="360" w:lineRule="auto"/>
              <w:rPr>
                <w:rFonts w:ascii="Times New Roman" w:eastAsia="標楷體" w:hAnsi="Times New Roman"/>
                <w:color w:val="000000"/>
                <w:sz w:val="20"/>
                <w:szCs w:val="20"/>
                <w:shd w:val="clear" w:color="auto" w:fill="FFFFFF"/>
              </w:rPr>
            </w:pPr>
            <w:r w:rsidRPr="002C1F29">
              <w:rPr>
                <w:rFonts w:ascii="Times New Roman" w:eastAsia="標楷體" w:hAnsi="Times New Roman"/>
                <w:color w:val="000000"/>
                <w:sz w:val="20"/>
                <w:szCs w:val="20"/>
                <w:shd w:val="clear" w:color="auto" w:fill="FFFFFF"/>
              </w:rPr>
              <w:t>1997</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Tunisia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1995</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Uruguay</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Venezuela</w:t>
            </w:r>
          </w:p>
        </w:tc>
        <w:tc>
          <w:tcPr>
            <w:tcW w:w="1459" w:type="pct"/>
          </w:tcPr>
          <w:p w:rsidR="008B04E7" w:rsidRPr="002C1F29" w:rsidRDefault="008B04E7" w:rsidP="000A483C">
            <w:pPr>
              <w:spacing w:line="360" w:lineRule="auto"/>
              <w:rPr>
                <w:rFonts w:ascii="Times New Roman" w:eastAsia="標楷體" w:hAnsi="Times New Roman"/>
                <w:color w:val="000000"/>
                <w:sz w:val="20"/>
                <w:szCs w:val="20"/>
                <w:shd w:val="clear" w:color="auto" w:fill="FFFFFF"/>
              </w:rPr>
            </w:pPr>
            <w:r w:rsidRPr="002C1F29">
              <w:rPr>
                <w:rFonts w:ascii="Times New Roman" w:eastAsia="標楷體" w:hAnsi="Times New Roman"/>
                <w:color w:val="000000"/>
                <w:sz w:val="20"/>
                <w:szCs w:val="20"/>
                <w:shd w:val="clear" w:color="auto" w:fill="FFFFFF"/>
              </w:rPr>
              <w:t>1990</w:t>
            </w:r>
          </w:p>
        </w:tc>
        <w:tc>
          <w:tcPr>
            <w:tcW w:w="1459" w:type="pct"/>
          </w:tcPr>
          <w:p w:rsidR="008B04E7" w:rsidRPr="002C1F29" w:rsidRDefault="008B04E7" w:rsidP="000A483C">
            <w:pPr>
              <w:spacing w:line="360" w:lineRule="auto"/>
              <w:rPr>
                <w:rFonts w:ascii="Times New Roman" w:eastAsia="標楷體" w:hAnsi="Times New Roman"/>
                <w:color w:val="000000"/>
                <w:sz w:val="20"/>
                <w:szCs w:val="20"/>
                <w:shd w:val="clear" w:color="auto" w:fill="FFFFFF"/>
              </w:rPr>
            </w:pPr>
            <w:r w:rsidRPr="002C1F29">
              <w:rPr>
                <w:rFonts w:ascii="Times New Roman" w:eastAsia="標楷體" w:hAnsi="Times New Roman"/>
                <w:color w:val="000000"/>
                <w:sz w:val="20"/>
                <w:szCs w:val="20"/>
                <w:shd w:val="clear" w:color="auto" w:fill="FFFFFF"/>
              </w:rPr>
              <w:t>1990</w:t>
            </w:r>
          </w:p>
        </w:tc>
      </w:tr>
      <w:tr w:rsidR="008B04E7" w:rsidRPr="002C1F29" w:rsidTr="000A483C">
        <w:tc>
          <w:tcPr>
            <w:tcW w:w="2082"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Zambia</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c>
          <w:tcPr>
            <w:tcW w:w="1459" w:type="pct"/>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w:t>
            </w:r>
          </w:p>
        </w:tc>
      </w:tr>
      <w:tr w:rsidR="008B04E7" w:rsidRPr="002C1F29" w:rsidTr="000A483C">
        <w:tc>
          <w:tcPr>
            <w:tcW w:w="2082"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Zimbabwe</w:t>
            </w:r>
          </w:p>
        </w:tc>
        <w:tc>
          <w:tcPr>
            <w:tcW w:w="1459"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1993</w:t>
            </w:r>
          </w:p>
        </w:tc>
        <w:tc>
          <w:tcPr>
            <w:tcW w:w="1459" w:type="pct"/>
            <w:tcBorders>
              <w:bottom w:val="single" w:sz="4" w:space="0" w:color="auto"/>
            </w:tcBorders>
          </w:tcPr>
          <w:p w:rsidR="008B04E7" w:rsidRPr="002C1F29" w:rsidRDefault="008B04E7" w:rsidP="000A483C">
            <w:pPr>
              <w:spacing w:line="360" w:lineRule="auto"/>
              <w:rPr>
                <w:rFonts w:ascii="Times New Roman" w:eastAsia="標楷體" w:hAnsi="Times New Roman"/>
                <w:color w:val="000000"/>
                <w:sz w:val="20"/>
                <w:szCs w:val="20"/>
              </w:rPr>
            </w:pPr>
            <w:r w:rsidRPr="002C1F29">
              <w:rPr>
                <w:rFonts w:ascii="Times New Roman" w:eastAsia="標楷體" w:hAnsi="Times New Roman"/>
                <w:color w:val="000000"/>
                <w:sz w:val="20"/>
                <w:szCs w:val="20"/>
              </w:rPr>
              <w:t>1993</w:t>
            </w:r>
          </w:p>
        </w:tc>
      </w:tr>
    </w:tbl>
    <w:p w:rsidR="008B04E7" w:rsidRPr="002C1F29" w:rsidRDefault="008B04E7" w:rsidP="001E6231">
      <w:pPr>
        <w:rPr>
          <w:rFonts w:ascii="Times New Roman" w:hAnsi="Times New Roman"/>
          <w:sz w:val="20"/>
          <w:szCs w:val="20"/>
        </w:rPr>
      </w:pPr>
    </w:p>
    <w:p w:rsidR="008B04E7" w:rsidRPr="002C1F29" w:rsidRDefault="008B04E7" w:rsidP="001D06CF">
      <w:pPr>
        <w:jc w:val="center"/>
        <w:rPr>
          <w:rFonts w:ascii="Times New Roman" w:hAnsi="Times New Roman"/>
          <w:sz w:val="20"/>
          <w:szCs w:val="20"/>
        </w:rPr>
      </w:pPr>
    </w:p>
    <w:sectPr w:rsidR="008B04E7" w:rsidRPr="002C1F29" w:rsidSect="00B17D8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7F" w:rsidRDefault="00A6217F" w:rsidP="001D06CF">
      <w:r>
        <w:separator/>
      </w:r>
    </w:p>
  </w:endnote>
  <w:endnote w:type="continuationSeparator" w:id="0">
    <w:p w:rsidR="00A6217F" w:rsidRDefault="00A6217F" w:rsidP="001D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MR10">
    <w:altName w:val="細明體"/>
    <w:panose1 w:val="00000000000000000000"/>
    <w:charset w:val="88"/>
    <w:family w:val="auto"/>
    <w:notTrueType/>
    <w:pitch w:val="default"/>
    <w:sig w:usb0="00000001" w:usb1="08080000" w:usb2="00000010" w:usb3="00000000" w:csb0="00100000" w:csb1="00000000"/>
  </w:font>
  <w:font w:name="CMTI12">
    <w:altName w:val="細明體"/>
    <w:panose1 w:val="00000000000000000000"/>
    <w:charset w:val="88"/>
    <w:family w:val="auto"/>
    <w:notTrueType/>
    <w:pitch w:val="default"/>
    <w:sig w:usb0="00000001" w:usb1="08080000" w:usb2="00000010" w:usb3="00000000" w:csb0="00100000" w:csb1="00000000"/>
  </w:font>
  <w:font w:name="AdvTimes">
    <w:altName w:val="細明體"/>
    <w:panose1 w:val="00000000000000000000"/>
    <w:charset w:val="88"/>
    <w:family w:val="auto"/>
    <w:notTrueType/>
    <w:pitch w:val="default"/>
    <w:sig w:usb0="00000001" w:usb1="08080000" w:usb2="00000010" w:usb3="00000000" w:csb0="00100000" w:csb1="00000000"/>
  </w:font>
  <w:font w:name="CMR12">
    <w:altName w:val="MS Mincho"/>
    <w:panose1 w:val="00000000000000000000"/>
    <w:charset w:val="80"/>
    <w:family w:val="auto"/>
    <w:notTrueType/>
    <w:pitch w:val="default"/>
    <w:sig w:usb0="00000001" w:usb1="080F0000" w:usb2="00000010" w:usb3="00000000" w:csb0="001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7F" w:rsidRDefault="00A6217F" w:rsidP="001D06CF">
      <w:r>
        <w:separator/>
      </w:r>
    </w:p>
  </w:footnote>
  <w:footnote w:type="continuationSeparator" w:id="0">
    <w:p w:rsidR="00A6217F" w:rsidRDefault="00A6217F" w:rsidP="001D06CF">
      <w:r>
        <w:continuationSeparator/>
      </w:r>
    </w:p>
  </w:footnote>
  <w:footnote w:id="1">
    <w:p w:rsidR="00CF59EE" w:rsidRPr="00FF4097" w:rsidRDefault="00CF59EE" w:rsidP="00FF4097">
      <w:pPr>
        <w:autoSpaceDE w:val="0"/>
        <w:autoSpaceDN w:val="0"/>
        <w:adjustRightInd w:val="0"/>
        <w:rPr>
          <w:rFonts w:ascii="Times New Roman" w:hAnsi="Times New Roman"/>
          <w:sz w:val="20"/>
          <w:szCs w:val="20"/>
        </w:rPr>
      </w:pPr>
      <w:r>
        <w:rPr>
          <w:rStyle w:val="a8"/>
        </w:rPr>
        <w:footnoteRef/>
      </w:r>
      <w:r>
        <w:t xml:space="preserve"> </w:t>
      </w:r>
      <w:proofErr w:type="gramStart"/>
      <w:r w:rsidRPr="00FF4097">
        <w:rPr>
          <w:rFonts w:ascii="Times New Roman" w:hAnsi="Times New Roman"/>
          <w:sz w:val="20"/>
          <w:szCs w:val="20"/>
        </w:rPr>
        <w:t>Corresponding author.</w:t>
      </w:r>
      <w:proofErr w:type="gramEnd"/>
      <w:r w:rsidRPr="00FF4097">
        <w:rPr>
          <w:rFonts w:ascii="Times New Roman" w:hAnsi="Times New Roman"/>
          <w:sz w:val="20"/>
          <w:szCs w:val="20"/>
        </w:rPr>
        <w:t xml:space="preserve"> </w:t>
      </w:r>
      <w:r w:rsidRPr="00FF4097">
        <w:rPr>
          <w:rFonts w:ascii="Times New Roman" w:hAnsi="Times New Roman"/>
          <w:kern w:val="0"/>
          <w:sz w:val="20"/>
          <w:szCs w:val="20"/>
        </w:rPr>
        <w:t xml:space="preserve">Department of Industrial Economics, </w:t>
      </w:r>
      <w:proofErr w:type="spellStart"/>
      <w:r w:rsidRPr="00FF4097">
        <w:rPr>
          <w:rFonts w:ascii="Times New Roman" w:hAnsi="Times New Roman"/>
          <w:kern w:val="0"/>
          <w:sz w:val="20"/>
          <w:szCs w:val="20"/>
        </w:rPr>
        <w:t>Tamkang</w:t>
      </w:r>
      <w:proofErr w:type="spellEnd"/>
      <w:r w:rsidRPr="00FF4097">
        <w:rPr>
          <w:rFonts w:ascii="Times New Roman" w:hAnsi="Times New Roman"/>
          <w:kern w:val="0"/>
          <w:sz w:val="20"/>
          <w:szCs w:val="20"/>
        </w:rPr>
        <w:t xml:space="preserve"> University,</w:t>
      </w:r>
      <w:r w:rsidRPr="00FF4097">
        <w:rPr>
          <w:rFonts w:ascii="Times New Roman" w:hAnsi="Times New Roman"/>
          <w:sz w:val="20"/>
          <w:szCs w:val="20"/>
        </w:rPr>
        <w:t xml:space="preserve"> </w:t>
      </w:r>
      <w:proofErr w:type="spellStart"/>
      <w:r w:rsidRPr="00FF4097">
        <w:rPr>
          <w:rFonts w:ascii="Times New Roman" w:eastAsia="CMR10" w:hAnsi="Times New Roman"/>
          <w:color w:val="000000"/>
          <w:kern w:val="0"/>
          <w:sz w:val="20"/>
          <w:szCs w:val="20"/>
        </w:rPr>
        <w:t>Tamkang</w:t>
      </w:r>
      <w:proofErr w:type="spellEnd"/>
      <w:r w:rsidRPr="00FF4097">
        <w:rPr>
          <w:rFonts w:ascii="Times New Roman" w:eastAsia="CMR10" w:hAnsi="Times New Roman"/>
          <w:color w:val="000000"/>
          <w:kern w:val="0"/>
          <w:sz w:val="20"/>
          <w:szCs w:val="20"/>
        </w:rPr>
        <w:t xml:space="preserve"> University, #151, </w:t>
      </w:r>
      <w:proofErr w:type="spellStart"/>
      <w:r w:rsidRPr="00FF4097">
        <w:rPr>
          <w:rFonts w:ascii="Times New Roman" w:eastAsia="CMR10" w:hAnsi="Times New Roman"/>
          <w:color w:val="000000"/>
          <w:kern w:val="0"/>
          <w:sz w:val="20"/>
          <w:szCs w:val="20"/>
        </w:rPr>
        <w:t>Yingzhuan</w:t>
      </w:r>
      <w:proofErr w:type="spellEnd"/>
      <w:r w:rsidRPr="00FF4097">
        <w:rPr>
          <w:rFonts w:ascii="Times New Roman" w:eastAsia="CMR10" w:hAnsi="Times New Roman"/>
          <w:color w:val="000000"/>
          <w:kern w:val="0"/>
          <w:sz w:val="20"/>
          <w:szCs w:val="20"/>
        </w:rPr>
        <w:t xml:space="preserve"> Rd., </w:t>
      </w:r>
      <w:proofErr w:type="spellStart"/>
      <w:r w:rsidRPr="00FF4097">
        <w:rPr>
          <w:rFonts w:ascii="Times New Roman" w:eastAsia="CMR10" w:hAnsi="Times New Roman"/>
          <w:color w:val="000000"/>
          <w:kern w:val="0"/>
          <w:sz w:val="20"/>
          <w:szCs w:val="20"/>
        </w:rPr>
        <w:t>Danshui</w:t>
      </w:r>
      <w:proofErr w:type="spellEnd"/>
      <w:r w:rsidRPr="00FF4097">
        <w:rPr>
          <w:rFonts w:ascii="Times New Roman" w:eastAsia="CMR10" w:hAnsi="Times New Roman"/>
          <w:color w:val="000000"/>
          <w:kern w:val="0"/>
          <w:sz w:val="20"/>
          <w:szCs w:val="20"/>
        </w:rPr>
        <w:t xml:space="preserve"> Dist., New Taipei City 25137, Taiwan, R.O.C.</w:t>
      </w:r>
      <w:r w:rsidRPr="00FF4097">
        <w:rPr>
          <w:rFonts w:ascii="Times New Roman" w:hAnsi="Times New Roman"/>
          <w:kern w:val="0"/>
          <w:sz w:val="20"/>
          <w:szCs w:val="20"/>
        </w:rPr>
        <w:t xml:space="preserve"> Tel: (886) </w:t>
      </w:r>
      <w:r>
        <w:rPr>
          <w:rFonts w:ascii="Times New Roman" w:hAnsi="Times New Roman"/>
          <w:kern w:val="0"/>
          <w:sz w:val="20"/>
          <w:szCs w:val="20"/>
        </w:rPr>
        <w:t>2-2621</w:t>
      </w:r>
      <w:r w:rsidRPr="00FF4097">
        <w:rPr>
          <w:rFonts w:ascii="Times New Roman" w:hAnsi="Times New Roman"/>
          <w:kern w:val="0"/>
          <w:sz w:val="20"/>
          <w:szCs w:val="20"/>
        </w:rPr>
        <w:t>-</w:t>
      </w:r>
      <w:r>
        <w:rPr>
          <w:rFonts w:ascii="Times New Roman" w:hAnsi="Times New Roman"/>
          <w:kern w:val="0"/>
          <w:sz w:val="20"/>
          <w:szCs w:val="20"/>
        </w:rPr>
        <w:t>5656</w:t>
      </w:r>
      <w:r w:rsidRPr="00FF4097">
        <w:rPr>
          <w:rFonts w:ascii="Times New Roman" w:hAnsi="Times New Roman"/>
          <w:kern w:val="0"/>
          <w:sz w:val="20"/>
          <w:szCs w:val="20"/>
        </w:rPr>
        <w:t xml:space="preserve">, ext. </w:t>
      </w:r>
      <w:r>
        <w:rPr>
          <w:rFonts w:ascii="Times New Roman" w:hAnsi="Times New Roman"/>
          <w:kern w:val="0"/>
          <w:sz w:val="20"/>
          <w:szCs w:val="20"/>
        </w:rPr>
        <w:t>3340</w:t>
      </w:r>
      <w:r w:rsidRPr="00FF4097">
        <w:rPr>
          <w:rFonts w:ascii="Times New Roman" w:hAnsi="Times New Roman"/>
          <w:kern w:val="0"/>
          <w:sz w:val="20"/>
          <w:szCs w:val="20"/>
        </w:rPr>
        <w:t>; Fax: (886)</w:t>
      </w:r>
      <w:r>
        <w:rPr>
          <w:rFonts w:ascii="Times New Roman" w:hAnsi="Times New Roman"/>
          <w:kern w:val="0"/>
          <w:sz w:val="20"/>
          <w:szCs w:val="20"/>
        </w:rPr>
        <w:t xml:space="preserve"> 2-</w:t>
      </w:r>
      <w:r w:rsidRPr="00FF4097">
        <w:rPr>
          <w:rFonts w:ascii="Times New Roman" w:hAnsi="Times New Roman"/>
          <w:kern w:val="0"/>
          <w:sz w:val="20"/>
          <w:szCs w:val="20"/>
        </w:rPr>
        <w:t xml:space="preserve"> </w:t>
      </w:r>
      <w:r>
        <w:rPr>
          <w:rFonts w:ascii="Times New Roman" w:hAnsi="Times New Roman"/>
          <w:kern w:val="0"/>
          <w:sz w:val="20"/>
          <w:szCs w:val="20"/>
        </w:rPr>
        <w:t>2620-9731</w:t>
      </w:r>
      <w:r w:rsidRPr="00FF4097">
        <w:rPr>
          <w:rFonts w:ascii="Times New Roman" w:hAnsi="Times New Roman"/>
          <w:kern w:val="0"/>
          <w:sz w:val="20"/>
          <w:szCs w:val="20"/>
        </w:rPr>
        <w:t>; E-mail: pclin@mail.tku.edu.tw</w:t>
      </w:r>
    </w:p>
    <w:p w:rsidR="00CF59EE" w:rsidRDefault="00CF59EE" w:rsidP="00FF4097">
      <w:pPr>
        <w:autoSpaceDE w:val="0"/>
        <w:autoSpaceDN w:val="0"/>
        <w:adjustRightInd w:val="0"/>
      </w:pPr>
    </w:p>
  </w:footnote>
  <w:footnote w:id="2">
    <w:p w:rsidR="00CF59EE" w:rsidRDefault="00CF59EE">
      <w:pPr>
        <w:pStyle w:val="a6"/>
      </w:pPr>
      <w:r>
        <w:rPr>
          <w:rStyle w:val="a8"/>
        </w:rPr>
        <w:footnoteRef/>
      </w:r>
      <w:r>
        <w:t xml:space="preserve"> </w:t>
      </w:r>
      <w:r w:rsidRPr="002C1F29">
        <w:rPr>
          <w:rFonts w:ascii="Times New Roman" w:hAnsi="Times New Roman"/>
        </w:rPr>
        <w:t xml:space="preserve">The original data of </w:t>
      </w:r>
      <w:r w:rsidRPr="002C1F29">
        <w:rPr>
          <w:rFonts w:ascii="Times New Roman" w:hAnsi="Times New Roman"/>
          <w:i/>
        </w:rPr>
        <w:t>schooling</w:t>
      </w:r>
      <w:r w:rsidRPr="002C1F29">
        <w:rPr>
          <w:rFonts w:ascii="Times New Roman" w:hAnsi="Times New Roman"/>
        </w:rPr>
        <w:t xml:space="preserve"> correspond by construction to five-year averages. A simple linear interpolation was used to convert them in annual basis.</w:t>
      </w:r>
    </w:p>
  </w:footnote>
  <w:footnote w:id="3">
    <w:p w:rsidR="00CF59EE" w:rsidRDefault="00CF59EE" w:rsidP="007B4A0E">
      <w:pPr>
        <w:pStyle w:val="a6"/>
      </w:pPr>
      <w:r>
        <w:rPr>
          <w:rStyle w:val="a8"/>
        </w:rPr>
        <w:footnoteRef/>
      </w:r>
      <w:r>
        <w:t xml:space="preserve"> </w:t>
      </w:r>
      <w:r w:rsidRPr="00066479">
        <w:rPr>
          <w:rFonts w:ascii="Times New Roman" w:hAnsi="Times New Roman"/>
          <w:color w:val="000000"/>
        </w:rPr>
        <w:t>We t</w:t>
      </w:r>
      <w:r>
        <w:rPr>
          <w:rFonts w:ascii="Times New Roman" w:hAnsi="Times New Roman"/>
          <w:color w:val="000000"/>
        </w:rPr>
        <w:t>ake</w:t>
      </w:r>
      <w:r w:rsidRPr="00066479">
        <w:rPr>
          <w:rFonts w:ascii="Times New Roman" w:hAnsi="Times New Roman"/>
          <w:color w:val="000000"/>
        </w:rPr>
        <w:t xml:space="preserve"> those countries which joined </w:t>
      </w:r>
      <w:r w:rsidRPr="00066479">
        <w:rPr>
          <w:rStyle w:val="st1"/>
          <w:rFonts w:ascii="Times New Roman" w:hAnsi="Times New Roman"/>
          <w:color w:val="000000"/>
        </w:rPr>
        <w:t>The Organi</w:t>
      </w:r>
      <w:r>
        <w:rPr>
          <w:rStyle w:val="st1"/>
          <w:rFonts w:ascii="Times New Roman" w:hAnsi="Times New Roman"/>
          <w:color w:val="000000"/>
        </w:rPr>
        <w:t>z</w:t>
      </w:r>
      <w:r w:rsidRPr="00066479">
        <w:rPr>
          <w:rStyle w:val="st1"/>
          <w:rFonts w:ascii="Times New Roman" w:hAnsi="Times New Roman"/>
          <w:color w:val="000000"/>
        </w:rPr>
        <w:t>ation for Economic Co-operation and Development (</w:t>
      </w:r>
      <w:r w:rsidRPr="00066479">
        <w:rPr>
          <w:rStyle w:val="af5"/>
          <w:rFonts w:ascii="Times New Roman" w:hAnsi="Times New Roman"/>
          <w:color w:val="000000"/>
        </w:rPr>
        <w:t>OECD) before 1980 as developed</w:t>
      </w:r>
      <w:r>
        <w:rPr>
          <w:rStyle w:val="af5"/>
          <w:rFonts w:ascii="Times New Roman" w:hAnsi="Times New Roman"/>
          <w:color w:val="000000"/>
        </w:rPr>
        <w:t xml:space="preserve"> </w:t>
      </w:r>
      <w:r w:rsidRPr="00066479">
        <w:rPr>
          <w:rStyle w:val="af5"/>
          <w:rFonts w:ascii="Times New Roman" w:hAnsi="Times New Roman"/>
          <w:color w:val="000000"/>
        </w:rPr>
        <w:t>economies, and the rest of the countries in the sample are grouped as developing economies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0C2"/>
    <w:multiLevelType w:val="hybridMultilevel"/>
    <w:tmpl w:val="C6BA45A0"/>
    <w:lvl w:ilvl="0" w:tplc="9B848CAA">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DB7107"/>
    <w:multiLevelType w:val="multilevel"/>
    <w:tmpl w:val="84A67A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7FD614C1"/>
    <w:multiLevelType w:val="hybridMultilevel"/>
    <w:tmpl w:val="F6220C74"/>
    <w:lvl w:ilvl="0" w:tplc="C8CA94DA">
      <w:numFmt w:val="bullet"/>
      <w:lvlText w:val="-"/>
      <w:lvlJc w:val="left"/>
      <w:pPr>
        <w:ind w:left="360" w:hanging="360"/>
      </w:pPr>
      <w:rPr>
        <w:rFonts w:ascii="Times New Roman" w:eastAsia="標楷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6CF"/>
    <w:rsid w:val="0000019E"/>
    <w:rsid w:val="00001804"/>
    <w:rsid w:val="00003036"/>
    <w:rsid w:val="000034DE"/>
    <w:rsid w:val="000042AE"/>
    <w:rsid w:val="00004A50"/>
    <w:rsid w:val="00004C45"/>
    <w:rsid w:val="00004E47"/>
    <w:rsid w:val="00004EE9"/>
    <w:rsid w:val="00005348"/>
    <w:rsid w:val="00006F13"/>
    <w:rsid w:val="000073F1"/>
    <w:rsid w:val="00010088"/>
    <w:rsid w:val="000107BC"/>
    <w:rsid w:val="00010A8A"/>
    <w:rsid w:val="00012053"/>
    <w:rsid w:val="0001223B"/>
    <w:rsid w:val="0001427A"/>
    <w:rsid w:val="00014694"/>
    <w:rsid w:val="00015811"/>
    <w:rsid w:val="00015AA7"/>
    <w:rsid w:val="00015BD8"/>
    <w:rsid w:val="00015EED"/>
    <w:rsid w:val="00016643"/>
    <w:rsid w:val="0001681D"/>
    <w:rsid w:val="00016E6A"/>
    <w:rsid w:val="0001748D"/>
    <w:rsid w:val="000176D5"/>
    <w:rsid w:val="00017D30"/>
    <w:rsid w:val="00020644"/>
    <w:rsid w:val="000208FF"/>
    <w:rsid w:val="000210AF"/>
    <w:rsid w:val="000215AB"/>
    <w:rsid w:val="0002164E"/>
    <w:rsid w:val="00021D8F"/>
    <w:rsid w:val="000232A7"/>
    <w:rsid w:val="00023710"/>
    <w:rsid w:val="000237A6"/>
    <w:rsid w:val="00023808"/>
    <w:rsid w:val="000238A0"/>
    <w:rsid w:val="000238A1"/>
    <w:rsid w:val="00023C17"/>
    <w:rsid w:val="000246F7"/>
    <w:rsid w:val="00025714"/>
    <w:rsid w:val="00025D9C"/>
    <w:rsid w:val="0002695D"/>
    <w:rsid w:val="00026E72"/>
    <w:rsid w:val="00027585"/>
    <w:rsid w:val="00027D80"/>
    <w:rsid w:val="00030778"/>
    <w:rsid w:val="00031217"/>
    <w:rsid w:val="00031B91"/>
    <w:rsid w:val="000322A7"/>
    <w:rsid w:val="00032538"/>
    <w:rsid w:val="00032553"/>
    <w:rsid w:val="00032AA9"/>
    <w:rsid w:val="00032C43"/>
    <w:rsid w:val="00032EEF"/>
    <w:rsid w:val="00032F1B"/>
    <w:rsid w:val="00034AF7"/>
    <w:rsid w:val="000350FE"/>
    <w:rsid w:val="00035454"/>
    <w:rsid w:val="00035C42"/>
    <w:rsid w:val="00036507"/>
    <w:rsid w:val="00036779"/>
    <w:rsid w:val="0003700F"/>
    <w:rsid w:val="000406B0"/>
    <w:rsid w:val="00041CC3"/>
    <w:rsid w:val="00041D94"/>
    <w:rsid w:val="00042125"/>
    <w:rsid w:val="000425A2"/>
    <w:rsid w:val="00042B5F"/>
    <w:rsid w:val="00043E4F"/>
    <w:rsid w:val="00043FE5"/>
    <w:rsid w:val="00044332"/>
    <w:rsid w:val="000449E9"/>
    <w:rsid w:val="000449F0"/>
    <w:rsid w:val="00044A01"/>
    <w:rsid w:val="00044FF8"/>
    <w:rsid w:val="00045615"/>
    <w:rsid w:val="00045D57"/>
    <w:rsid w:val="0004663D"/>
    <w:rsid w:val="000478D6"/>
    <w:rsid w:val="000506EC"/>
    <w:rsid w:val="00050E25"/>
    <w:rsid w:val="00051A0E"/>
    <w:rsid w:val="00053BDB"/>
    <w:rsid w:val="00053E23"/>
    <w:rsid w:val="00054709"/>
    <w:rsid w:val="0005476C"/>
    <w:rsid w:val="0005569C"/>
    <w:rsid w:val="00055AA8"/>
    <w:rsid w:val="0005629E"/>
    <w:rsid w:val="0005632E"/>
    <w:rsid w:val="00056DB6"/>
    <w:rsid w:val="0006079F"/>
    <w:rsid w:val="00060C2C"/>
    <w:rsid w:val="0006113F"/>
    <w:rsid w:val="00061238"/>
    <w:rsid w:val="00061AEF"/>
    <w:rsid w:val="000622F7"/>
    <w:rsid w:val="00062572"/>
    <w:rsid w:val="000625C7"/>
    <w:rsid w:val="00062B2D"/>
    <w:rsid w:val="00063606"/>
    <w:rsid w:val="0006400D"/>
    <w:rsid w:val="0006408D"/>
    <w:rsid w:val="000647E5"/>
    <w:rsid w:val="00065BC6"/>
    <w:rsid w:val="00065BFD"/>
    <w:rsid w:val="00065C37"/>
    <w:rsid w:val="00065E58"/>
    <w:rsid w:val="00066479"/>
    <w:rsid w:val="00066973"/>
    <w:rsid w:val="00066B0D"/>
    <w:rsid w:val="00066DA9"/>
    <w:rsid w:val="00067046"/>
    <w:rsid w:val="00071200"/>
    <w:rsid w:val="000716FA"/>
    <w:rsid w:val="00072345"/>
    <w:rsid w:val="0007288D"/>
    <w:rsid w:val="00072DBF"/>
    <w:rsid w:val="00073340"/>
    <w:rsid w:val="00073A71"/>
    <w:rsid w:val="00073CD7"/>
    <w:rsid w:val="00073E67"/>
    <w:rsid w:val="00074464"/>
    <w:rsid w:val="000754CD"/>
    <w:rsid w:val="000769E2"/>
    <w:rsid w:val="00076C7D"/>
    <w:rsid w:val="00076F21"/>
    <w:rsid w:val="00076F99"/>
    <w:rsid w:val="000770B7"/>
    <w:rsid w:val="0007737F"/>
    <w:rsid w:val="00077C71"/>
    <w:rsid w:val="00080627"/>
    <w:rsid w:val="00080DDE"/>
    <w:rsid w:val="000820E0"/>
    <w:rsid w:val="000821A3"/>
    <w:rsid w:val="00082581"/>
    <w:rsid w:val="0008293D"/>
    <w:rsid w:val="00082F8D"/>
    <w:rsid w:val="0008339B"/>
    <w:rsid w:val="000841FE"/>
    <w:rsid w:val="00084C4B"/>
    <w:rsid w:val="00084EA9"/>
    <w:rsid w:val="000851B9"/>
    <w:rsid w:val="000868CB"/>
    <w:rsid w:val="00090577"/>
    <w:rsid w:val="000912BE"/>
    <w:rsid w:val="0009134B"/>
    <w:rsid w:val="00091556"/>
    <w:rsid w:val="00092255"/>
    <w:rsid w:val="0009393B"/>
    <w:rsid w:val="00094426"/>
    <w:rsid w:val="000946D2"/>
    <w:rsid w:val="000954E1"/>
    <w:rsid w:val="00096570"/>
    <w:rsid w:val="000976E8"/>
    <w:rsid w:val="000A0846"/>
    <w:rsid w:val="000A08E2"/>
    <w:rsid w:val="000A0C39"/>
    <w:rsid w:val="000A1C42"/>
    <w:rsid w:val="000A21FA"/>
    <w:rsid w:val="000A2261"/>
    <w:rsid w:val="000A2458"/>
    <w:rsid w:val="000A2647"/>
    <w:rsid w:val="000A2BB5"/>
    <w:rsid w:val="000A2E43"/>
    <w:rsid w:val="000A41B8"/>
    <w:rsid w:val="000A483C"/>
    <w:rsid w:val="000A568E"/>
    <w:rsid w:val="000A5946"/>
    <w:rsid w:val="000A701A"/>
    <w:rsid w:val="000A707C"/>
    <w:rsid w:val="000A739D"/>
    <w:rsid w:val="000A7418"/>
    <w:rsid w:val="000A78E4"/>
    <w:rsid w:val="000A79F0"/>
    <w:rsid w:val="000B0C1B"/>
    <w:rsid w:val="000B0FE1"/>
    <w:rsid w:val="000B18CE"/>
    <w:rsid w:val="000B1CEE"/>
    <w:rsid w:val="000B27CF"/>
    <w:rsid w:val="000B3269"/>
    <w:rsid w:val="000B34FF"/>
    <w:rsid w:val="000B3E51"/>
    <w:rsid w:val="000B419C"/>
    <w:rsid w:val="000B4393"/>
    <w:rsid w:val="000B4446"/>
    <w:rsid w:val="000B49E5"/>
    <w:rsid w:val="000B4C05"/>
    <w:rsid w:val="000B4E34"/>
    <w:rsid w:val="000B5A23"/>
    <w:rsid w:val="000B6D40"/>
    <w:rsid w:val="000B78D5"/>
    <w:rsid w:val="000B7DB3"/>
    <w:rsid w:val="000C0502"/>
    <w:rsid w:val="000C0F69"/>
    <w:rsid w:val="000C128D"/>
    <w:rsid w:val="000C148A"/>
    <w:rsid w:val="000C15A3"/>
    <w:rsid w:val="000C1B07"/>
    <w:rsid w:val="000C1B7A"/>
    <w:rsid w:val="000C221E"/>
    <w:rsid w:val="000C31DC"/>
    <w:rsid w:val="000C327F"/>
    <w:rsid w:val="000C3C6A"/>
    <w:rsid w:val="000C449D"/>
    <w:rsid w:val="000C482C"/>
    <w:rsid w:val="000C4B1C"/>
    <w:rsid w:val="000C5330"/>
    <w:rsid w:val="000C54CF"/>
    <w:rsid w:val="000C6DAA"/>
    <w:rsid w:val="000C6F9D"/>
    <w:rsid w:val="000C7004"/>
    <w:rsid w:val="000C7C47"/>
    <w:rsid w:val="000C7D20"/>
    <w:rsid w:val="000D04BB"/>
    <w:rsid w:val="000D04DB"/>
    <w:rsid w:val="000D0526"/>
    <w:rsid w:val="000D095A"/>
    <w:rsid w:val="000D0A26"/>
    <w:rsid w:val="000D120D"/>
    <w:rsid w:val="000D1510"/>
    <w:rsid w:val="000D17A9"/>
    <w:rsid w:val="000D192E"/>
    <w:rsid w:val="000D2083"/>
    <w:rsid w:val="000D23CB"/>
    <w:rsid w:val="000D28B8"/>
    <w:rsid w:val="000D2918"/>
    <w:rsid w:val="000D37F3"/>
    <w:rsid w:val="000D42A0"/>
    <w:rsid w:val="000D4581"/>
    <w:rsid w:val="000D6CB0"/>
    <w:rsid w:val="000D764A"/>
    <w:rsid w:val="000D7991"/>
    <w:rsid w:val="000E0BAC"/>
    <w:rsid w:val="000E0D79"/>
    <w:rsid w:val="000E1670"/>
    <w:rsid w:val="000E1A7C"/>
    <w:rsid w:val="000E1B90"/>
    <w:rsid w:val="000E2036"/>
    <w:rsid w:val="000E2608"/>
    <w:rsid w:val="000E2BA1"/>
    <w:rsid w:val="000E2F84"/>
    <w:rsid w:val="000E3AE6"/>
    <w:rsid w:val="000E4971"/>
    <w:rsid w:val="000E4EDD"/>
    <w:rsid w:val="000E7091"/>
    <w:rsid w:val="000E7B0D"/>
    <w:rsid w:val="000E7E37"/>
    <w:rsid w:val="000E7EE3"/>
    <w:rsid w:val="000F0B32"/>
    <w:rsid w:val="000F0BEB"/>
    <w:rsid w:val="000F0BFD"/>
    <w:rsid w:val="000F103E"/>
    <w:rsid w:val="000F20AF"/>
    <w:rsid w:val="000F2338"/>
    <w:rsid w:val="000F2DBB"/>
    <w:rsid w:val="000F2E37"/>
    <w:rsid w:val="000F306E"/>
    <w:rsid w:val="000F3527"/>
    <w:rsid w:val="000F381B"/>
    <w:rsid w:val="000F39F8"/>
    <w:rsid w:val="000F3A97"/>
    <w:rsid w:val="000F417B"/>
    <w:rsid w:val="000F46A4"/>
    <w:rsid w:val="000F485B"/>
    <w:rsid w:val="000F5801"/>
    <w:rsid w:val="000F60A6"/>
    <w:rsid w:val="000F65DC"/>
    <w:rsid w:val="000F736E"/>
    <w:rsid w:val="000F737F"/>
    <w:rsid w:val="000F7E17"/>
    <w:rsid w:val="00100997"/>
    <w:rsid w:val="00101073"/>
    <w:rsid w:val="0010153B"/>
    <w:rsid w:val="00102253"/>
    <w:rsid w:val="00104519"/>
    <w:rsid w:val="00104AA2"/>
    <w:rsid w:val="0010581D"/>
    <w:rsid w:val="00106280"/>
    <w:rsid w:val="00106A53"/>
    <w:rsid w:val="0010713C"/>
    <w:rsid w:val="0011004A"/>
    <w:rsid w:val="00110D82"/>
    <w:rsid w:val="00111510"/>
    <w:rsid w:val="0011251E"/>
    <w:rsid w:val="00113761"/>
    <w:rsid w:val="00113D9B"/>
    <w:rsid w:val="00114629"/>
    <w:rsid w:val="00114A5A"/>
    <w:rsid w:val="0011514D"/>
    <w:rsid w:val="00115D40"/>
    <w:rsid w:val="0011629F"/>
    <w:rsid w:val="00116364"/>
    <w:rsid w:val="00116A8F"/>
    <w:rsid w:val="00116FC2"/>
    <w:rsid w:val="0011770A"/>
    <w:rsid w:val="00117D9A"/>
    <w:rsid w:val="00117E42"/>
    <w:rsid w:val="00120152"/>
    <w:rsid w:val="001207E3"/>
    <w:rsid w:val="0012087C"/>
    <w:rsid w:val="00120F64"/>
    <w:rsid w:val="00121395"/>
    <w:rsid w:val="00122BB7"/>
    <w:rsid w:val="001231CC"/>
    <w:rsid w:val="001248DC"/>
    <w:rsid w:val="0012493F"/>
    <w:rsid w:val="001249B9"/>
    <w:rsid w:val="00125520"/>
    <w:rsid w:val="00125A91"/>
    <w:rsid w:val="00127399"/>
    <w:rsid w:val="00127686"/>
    <w:rsid w:val="00127F9D"/>
    <w:rsid w:val="00130582"/>
    <w:rsid w:val="0013095D"/>
    <w:rsid w:val="001309FC"/>
    <w:rsid w:val="00131798"/>
    <w:rsid w:val="00131ADC"/>
    <w:rsid w:val="00131D47"/>
    <w:rsid w:val="00131EDE"/>
    <w:rsid w:val="0013370D"/>
    <w:rsid w:val="00133737"/>
    <w:rsid w:val="001339F9"/>
    <w:rsid w:val="00133EF7"/>
    <w:rsid w:val="00134104"/>
    <w:rsid w:val="00134168"/>
    <w:rsid w:val="0013480D"/>
    <w:rsid w:val="001351C7"/>
    <w:rsid w:val="00135CF4"/>
    <w:rsid w:val="00136685"/>
    <w:rsid w:val="00136CF3"/>
    <w:rsid w:val="0014057B"/>
    <w:rsid w:val="00140836"/>
    <w:rsid w:val="00140E49"/>
    <w:rsid w:val="00141539"/>
    <w:rsid w:val="001417FB"/>
    <w:rsid w:val="00141ACB"/>
    <w:rsid w:val="001422E6"/>
    <w:rsid w:val="00142630"/>
    <w:rsid w:val="001433D8"/>
    <w:rsid w:val="00143521"/>
    <w:rsid w:val="001439F1"/>
    <w:rsid w:val="00143CE8"/>
    <w:rsid w:val="00144ACC"/>
    <w:rsid w:val="00144EB6"/>
    <w:rsid w:val="00145098"/>
    <w:rsid w:val="00145514"/>
    <w:rsid w:val="00145ADB"/>
    <w:rsid w:val="00146088"/>
    <w:rsid w:val="00146188"/>
    <w:rsid w:val="0014662A"/>
    <w:rsid w:val="0014728A"/>
    <w:rsid w:val="00147714"/>
    <w:rsid w:val="001502D3"/>
    <w:rsid w:val="00150709"/>
    <w:rsid w:val="00150B06"/>
    <w:rsid w:val="00151B82"/>
    <w:rsid w:val="00151EDB"/>
    <w:rsid w:val="00152608"/>
    <w:rsid w:val="00153B3F"/>
    <w:rsid w:val="00155AAC"/>
    <w:rsid w:val="00155B94"/>
    <w:rsid w:val="001560F3"/>
    <w:rsid w:val="001560FE"/>
    <w:rsid w:val="0015631D"/>
    <w:rsid w:val="001564A9"/>
    <w:rsid w:val="00156DF6"/>
    <w:rsid w:val="0015779A"/>
    <w:rsid w:val="001603D8"/>
    <w:rsid w:val="00162A36"/>
    <w:rsid w:val="00162E25"/>
    <w:rsid w:val="00163D45"/>
    <w:rsid w:val="00163DE8"/>
    <w:rsid w:val="001651FE"/>
    <w:rsid w:val="001652D9"/>
    <w:rsid w:val="001654AD"/>
    <w:rsid w:val="001662C5"/>
    <w:rsid w:val="001665DD"/>
    <w:rsid w:val="00170609"/>
    <w:rsid w:val="001709CB"/>
    <w:rsid w:val="00170B2C"/>
    <w:rsid w:val="00171048"/>
    <w:rsid w:val="0017115D"/>
    <w:rsid w:val="00171B88"/>
    <w:rsid w:val="00171D98"/>
    <w:rsid w:val="00171E5C"/>
    <w:rsid w:val="00171FA8"/>
    <w:rsid w:val="001722A8"/>
    <w:rsid w:val="0017382D"/>
    <w:rsid w:val="001778F9"/>
    <w:rsid w:val="00180052"/>
    <w:rsid w:val="00180307"/>
    <w:rsid w:val="00180699"/>
    <w:rsid w:val="0018116B"/>
    <w:rsid w:val="00181A81"/>
    <w:rsid w:val="00181C59"/>
    <w:rsid w:val="00181C84"/>
    <w:rsid w:val="001829D4"/>
    <w:rsid w:val="00182C27"/>
    <w:rsid w:val="00183846"/>
    <w:rsid w:val="001842CE"/>
    <w:rsid w:val="001842D9"/>
    <w:rsid w:val="00184B6C"/>
    <w:rsid w:val="00184E8F"/>
    <w:rsid w:val="0018505B"/>
    <w:rsid w:val="0018547A"/>
    <w:rsid w:val="00185675"/>
    <w:rsid w:val="001857DA"/>
    <w:rsid w:val="00185FD0"/>
    <w:rsid w:val="00187241"/>
    <w:rsid w:val="00190136"/>
    <w:rsid w:val="0019037A"/>
    <w:rsid w:val="001921F3"/>
    <w:rsid w:val="00193224"/>
    <w:rsid w:val="00193442"/>
    <w:rsid w:val="001945CB"/>
    <w:rsid w:val="00195D7B"/>
    <w:rsid w:val="00197483"/>
    <w:rsid w:val="00197516"/>
    <w:rsid w:val="001A07C5"/>
    <w:rsid w:val="001A0BF2"/>
    <w:rsid w:val="001A1796"/>
    <w:rsid w:val="001A1E47"/>
    <w:rsid w:val="001A2196"/>
    <w:rsid w:val="001A2FDF"/>
    <w:rsid w:val="001A3057"/>
    <w:rsid w:val="001A3554"/>
    <w:rsid w:val="001A4603"/>
    <w:rsid w:val="001A46F3"/>
    <w:rsid w:val="001A4823"/>
    <w:rsid w:val="001A5BA3"/>
    <w:rsid w:val="001A5EE5"/>
    <w:rsid w:val="001B0010"/>
    <w:rsid w:val="001B0625"/>
    <w:rsid w:val="001B0E16"/>
    <w:rsid w:val="001B1388"/>
    <w:rsid w:val="001B15F9"/>
    <w:rsid w:val="001B18D9"/>
    <w:rsid w:val="001B1AB9"/>
    <w:rsid w:val="001B1C06"/>
    <w:rsid w:val="001B28AD"/>
    <w:rsid w:val="001B2ABA"/>
    <w:rsid w:val="001B3D6E"/>
    <w:rsid w:val="001B4C90"/>
    <w:rsid w:val="001B5401"/>
    <w:rsid w:val="001B5B47"/>
    <w:rsid w:val="001B608B"/>
    <w:rsid w:val="001B6EAB"/>
    <w:rsid w:val="001B737B"/>
    <w:rsid w:val="001B7724"/>
    <w:rsid w:val="001B79E8"/>
    <w:rsid w:val="001C0016"/>
    <w:rsid w:val="001C02E2"/>
    <w:rsid w:val="001C032E"/>
    <w:rsid w:val="001C03C1"/>
    <w:rsid w:val="001C1EA6"/>
    <w:rsid w:val="001C20AE"/>
    <w:rsid w:val="001C2268"/>
    <w:rsid w:val="001C3003"/>
    <w:rsid w:val="001C38F4"/>
    <w:rsid w:val="001C3E3C"/>
    <w:rsid w:val="001C4A62"/>
    <w:rsid w:val="001C4D5F"/>
    <w:rsid w:val="001C4F52"/>
    <w:rsid w:val="001C64BA"/>
    <w:rsid w:val="001C7A66"/>
    <w:rsid w:val="001C7DDC"/>
    <w:rsid w:val="001D06CF"/>
    <w:rsid w:val="001D12CF"/>
    <w:rsid w:val="001D15FC"/>
    <w:rsid w:val="001D1637"/>
    <w:rsid w:val="001D2012"/>
    <w:rsid w:val="001D214C"/>
    <w:rsid w:val="001D2152"/>
    <w:rsid w:val="001D33D3"/>
    <w:rsid w:val="001D3734"/>
    <w:rsid w:val="001D4949"/>
    <w:rsid w:val="001D49C4"/>
    <w:rsid w:val="001D4CD3"/>
    <w:rsid w:val="001D656D"/>
    <w:rsid w:val="001D66F0"/>
    <w:rsid w:val="001D7617"/>
    <w:rsid w:val="001D7678"/>
    <w:rsid w:val="001E0A28"/>
    <w:rsid w:val="001E0DE3"/>
    <w:rsid w:val="001E243F"/>
    <w:rsid w:val="001E2A93"/>
    <w:rsid w:val="001E2AE3"/>
    <w:rsid w:val="001E3453"/>
    <w:rsid w:val="001E469A"/>
    <w:rsid w:val="001E4C64"/>
    <w:rsid w:val="001E5990"/>
    <w:rsid w:val="001E5A61"/>
    <w:rsid w:val="001E5BDE"/>
    <w:rsid w:val="001E6231"/>
    <w:rsid w:val="001E67F9"/>
    <w:rsid w:val="001E689C"/>
    <w:rsid w:val="001E6CA7"/>
    <w:rsid w:val="001E6FF5"/>
    <w:rsid w:val="001E757B"/>
    <w:rsid w:val="001E7727"/>
    <w:rsid w:val="001F02A8"/>
    <w:rsid w:val="001F05B9"/>
    <w:rsid w:val="001F0A6C"/>
    <w:rsid w:val="001F0EBD"/>
    <w:rsid w:val="001F2062"/>
    <w:rsid w:val="001F277A"/>
    <w:rsid w:val="001F32DC"/>
    <w:rsid w:val="001F341C"/>
    <w:rsid w:val="001F354D"/>
    <w:rsid w:val="001F3819"/>
    <w:rsid w:val="001F3C76"/>
    <w:rsid w:val="001F4147"/>
    <w:rsid w:val="001F4165"/>
    <w:rsid w:val="001F563A"/>
    <w:rsid w:val="001F5EF5"/>
    <w:rsid w:val="001F683E"/>
    <w:rsid w:val="001F6F78"/>
    <w:rsid w:val="001F73BE"/>
    <w:rsid w:val="001F7532"/>
    <w:rsid w:val="001F7647"/>
    <w:rsid w:val="00200705"/>
    <w:rsid w:val="002012BF"/>
    <w:rsid w:val="00201312"/>
    <w:rsid w:val="00201831"/>
    <w:rsid w:val="00201CDE"/>
    <w:rsid w:val="00202105"/>
    <w:rsid w:val="002024E5"/>
    <w:rsid w:val="00202787"/>
    <w:rsid w:val="002039E4"/>
    <w:rsid w:val="002054E6"/>
    <w:rsid w:val="00205735"/>
    <w:rsid w:val="002057C1"/>
    <w:rsid w:val="00206388"/>
    <w:rsid w:val="002079B4"/>
    <w:rsid w:val="002108D4"/>
    <w:rsid w:val="00210965"/>
    <w:rsid w:val="00211528"/>
    <w:rsid w:val="00211AFD"/>
    <w:rsid w:val="00212C63"/>
    <w:rsid w:val="002135AF"/>
    <w:rsid w:val="002138B4"/>
    <w:rsid w:val="002138DC"/>
    <w:rsid w:val="00213BCF"/>
    <w:rsid w:val="00214848"/>
    <w:rsid w:val="00214B0B"/>
    <w:rsid w:val="0021665E"/>
    <w:rsid w:val="002173EE"/>
    <w:rsid w:val="00217654"/>
    <w:rsid w:val="00217CC9"/>
    <w:rsid w:val="002204E9"/>
    <w:rsid w:val="002209CF"/>
    <w:rsid w:val="00220BCF"/>
    <w:rsid w:val="00220BE3"/>
    <w:rsid w:val="00222BC0"/>
    <w:rsid w:val="00222D96"/>
    <w:rsid w:val="002237D8"/>
    <w:rsid w:val="002246A3"/>
    <w:rsid w:val="00224DFA"/>
    <w:rsid w:val="002250BE"/>
    <w:rsid w:val="00225C4F"/>
    <w:rsid w:val="00226D6C"/>
    <w:rsid w:val="00227149"/>
    <w:rsid w:val="00227156"/>
    <w:rsid w:val="00227CE0"/>
    <w:rsid w:val="0023075A"/>
    <w:rsid w:val="00230C12"/>
    <w:rsid w:val="002313E4"/>
    <w:rsid w:val="00231A4F"/>
    <w:rsid w:val="00232AEA"/>
    <w:rsid w:val="0023320A"/>
    <w:rsid w:val="0023393C"/>
    <w:rsid w:val="00233D08"/>
    <w:rsid w:val="00233E51"/>
    <w:rsid w:val="002340A9"/>
    <w:rsid w:val="00235591"/>
    <w:rsid w:val="00235959"/>
    <w:rsid w:val="00237501"/>
    <w:rsid w:val="00240A41"/>
    <w:rsid w:val="00240AE2"/>
    <w:rsid w:val="0024167E"/>
    <w:rsid w:val="00241692"/>
    <w:rsid w:val="0024222E"/>
    <w:rsid w:val="00242341"/>
    <w:rsid w:val="00242FF3"/>
    <w:rsid w:val="0024373E"/>
    <w:rsid w:val="00243B1B"/>
    <w:rsid w:val="00243DF2"/>
    <w:rsid w:val="00243E8E"/>
    <w:rsid w:val="00244728"/>
    <w:rsid w:val="00244845"/>
    <w:rsid w:val="002458D7"/>
    <w:rsid w:val="00246A8B"/>
    <w:rsid w:val="00246F2F"/>
    <w:rsid w:val="00246FA5"/>
    <w:rsid w:val="00247570"/>
    <w:rsid w:val="002508BF"/>
    <w:rsid w:val="00251B5C"/>
    <w:rsid w:val="00252646"/>
    <w:rsid w:val="002527B4"/>
    <w:rsid w:val="002529FB"/>
    <w:rsid w:val="00253ADB"/>
    <w:rsid w:val="00253E52"/>
    <w:rsid w:val="0025469D"/>
    <w:rsid w:val="00254B68"/>
    <w:rsid w:val="00254D93"/>
    <w:rsid w:val="0025562C"/>
    <w:rsid w:val="0025674A"/>
    <w:rsid w:val="0025754B"/>
    <w:rsid w:val="002577AB"/>
    <w:rsid w:val="00257974"/>
    <w:rsid w:val="002600BF"/>
    <w:rsid w:val="00261199"/>
    <w:rsid w:val="00261288"/>
    <w:rsid w:val="00262428"/>
    <w:rsid w:val="00262B2E"/>
    <w:rsid w:val="00263359"/>
    <w:rsid w:val="00264587"/>
    <w:rsid w:val="00264590"/>
    <w:rsid w:val="002645E4"/>
    <w:rsid w:val="00265401"/>
    <w:rsid w:val="00267A5C"/>
    <w:rsid w:val="00267BBA"/>
    <w:rsid w:val="00267FD5"/>
    <w:rsid w:val="002712FE"/>
    <w:rsid w:val="0027156C"/>
    <w:rsid w:val="00271CAB"/>
    <w:rsid w:val="00271D71"/>
    <w:rsid w:val="0027346A"/>
    <w:rsid w:val="00274B13"/>
    <w:rsid w:val="002750CF"/>
    <w:rsid w:val="0027551C"/>
    <w:rsid w:val="002771F9"/>
    <w:rsid w:val="002774E0"/>
    <w:rsid w:val="00277E4B"/>
    <w:rsid w:val="0028001D"/>
    <w:rsid w:val="00280E80"/>
    <w:rsid w:val="0028147B"/>
    <w:rsid w:val="002824F9"/>
    <w:rsid w:val="0028345A"/>
    <w:rsid w:val="002837F4"/>
    <w:rsid w:val="002839AD"/>
    <w:rsid w:val="00283C91"/>
    <w:rsid w:val="002841E6"/>
    <w:rsid w:val="00284994"/>
    <w:rsid w:val="00284BCA"/>
    <w:rsid w:val="00284C8B"/>
    <w:rsid w:val="0028600E"/>
    <w:rsid w:val="002863D9"/>
    <w:rsid w:val="00286EAF"/>
    <w:rsid w:val="0028741F"/>
    <w:rsid w:val="00287476"/>
    <w:rsid w:val="00290411"/>
    <w:rsid w:val="002904EC"/>
    <w:rsid w:val="00293B21"/>
    <w:rsid w:val="00293BC9"/>
    <w:rsid w:val="00294351"/>
    <w:rsid w:val="00294DED"/>
    <w:rsid w:val="00295055"/>
    <w:rsid w:val="00296213"/>
    <w:rsid w:val="00296242"/>
    <w:rsid w:val="002967BB"/>
    <w:rsid w:val="00297EFE"/>
    <w:rsid w:val="002A0023"/>
    <w:rsid w:val="002A1E8C"/>
    <w:rsid w:val="002A2057"/>
    <w:rsid w:val="002A2E1A"/>
    <w:rsid w:val="002A3B5A"/>
    <w:rsid w:val="002A4561"/>
    <w:rsid w:val="002A5E7B"/>
    <w:rsid w:val="002A6522"/>
    <w:rsid w:val="002A67CC"/>
    <w:rsid w:val="002A69E9"/>
    <w:rsid w:val="002A71FA"/>
    <w:rsid w:val="002A7684"/>
    <w:rsid w:val="002A7D99"/>
    <w:rsid w:val="002A7E23"/>
    <w:rsid w:val="002A7F98"/>
    <w:rsid w:val="002B02D2"/>
    <w:rsid w:val="002B0BC9"/>
    <w:rsid w:val="002B1436"/>
    <w:rsid w:val="002B15F7"/>
    <w:rsid w:val="002B1CFD"/>
    <w:rsid w:val="002B1D91"/>
    <w:rsid w:val="002B2048"/>
    <w:rsid w:val="002B2F50"/>
    <w:rsid w:val="002B3477"/>
    <w:rsid w:val="002B3812"/>
    <w:rsid w:val="002B3B10"/>
    <w:rsid w:val="002B3ECA"/>
    <w:rsid w:val="002B3EDE"/>
    <w:rsid w:val="002B4C06"/>
    <w:rsid w:val="002B4DF4"/>
    <w:rsid w:val="002B72E3"/>
    <w:rsid w:val="002C0859"/>
    <w:rsid w:val="002C0FC5"/>
    <w:rsid w:val="002C172E"/>
    <w:rsid w:val="002C1732"/>
    <w:rsid w:val="002C190E"/>
    <w:rsid w:val="002C1F29"/>
    <w:rsid w:val="002C2744"/>
    <w:rsid w:val="002C293C"/>
    <w:rsid w:val="002C35D4"/>
    <w:rsid w:val="002C3A5A"/>
    <w:rsid w:val="002C4C01"/>
    <w:rsid w:val="002C59E7"/>
    <w:rsid w:val="002C6865"/>
    <w:rsid w:val="002C7B50"/>
    <w:rsid w:val="002C7CDA"/>
    <w:rsid w:val="002D0C26"/>
    <w:rsid w:val="002D0FFD"/>
    <w:rsid w:val="002D1588"/>
    <w:rsid w:val="002D1C6B"/>
    <w:rsid w:val="002D1DE3"/>
    <w:rsid w:val="002D32C5"/>
    <w:rsid w:val="002D33E4"/>
    <w:rsid w:val="002D53A7"/>
    <w:rsid w:val="002D5D5E"/>
    <w:rsid w:val="002D60A6"/>
    <w:rsid w:val="002D65B4"/>
    <w:rsid w:val="002D6663"/>
    <w:rsid w:val="002D6C9D"/>
    <w:rsid w:val="002D7EA3"/>
    <w:rsid w:val="002E03CF"/>
    <w:rsid w:val="002E1313"/>
    <w:rsid w:val="002E14B2"/>
    <w:rsid w:val="002E1EEF"/>
    <w:rsid w:val="002E216F"/>
    <w:rsid w:val="002E2842"/>
    <w:rsid w:val="002E2A16"/>
    <w:rsid w:val="002E2E00"/>
    <w:rsid w:val="002E3658"/>
    <w:rsid w:val="002E3753"/>
    <w:rsid w:val="002E492D"/>
    <w:rsid w:val="002E49C0"/>
    <w:rsid w:val="002E5790"/>
    <w:rsid w:val="002E57CB"/>
    <w:rsid w:val="002E649E"/>
    <w:rsid w:val="002E6947"/>
    <w:rsid w:val="002E6F14"/>
    <w:rsid w:val="002E7730"/>
    <w:rsid w:val="002E7882"/>
    <w:rsid w:val="002F0104"/>
    <w:rsid w:val="002F0838"/>
    <w:rsid w:val="002F086E"/>
    <w:rsid w:val="002F0A6E"/>
    <w:rsid w:val="002F0D66"/>
    <w:rsid w:val="002F10AA"/>
    <w:rsid w:val="002F27AF"/>
    <w:rsid w:val="002F2C39"/>
    <w:rsid w:val="002F2CF5"/>
    <w:rsid w:val="002F4CE2"/>
    <w:rsid w:val="002F5B52"/>
    <w:rsid w:val="002F5BD8"/>
    <w:rsid w:val="002F6A27"/>
    <w:rsid w:val="00300325"/>
    <w:rsid w:val="00301949"/>
    <w:rsid w:val="00301959"/>
    <w:rsid w:val="0030393D"/>
    <w:rsid w:val="00304A68"/>
    <w:rsid w:val="0030557D"/>
    <w:rsid w:val="00306475"/>
    <w:rsid w:val="00306C66"/>
    <w:rsid w:val="003073E9"/>
    <w:rsid w:val="00307C30"/>
    <w:rsid w:val="003100F1"/>
    <w:rsid w:val="00310FEA"/>
    <w:rsid w:val="00311733"/>
    <w:rsid w:val="003122F3"/>
    <w:rsid w:val="00312766"/>
    <w:rsid w:val="00312D73"/>
    <w:rsid w:val="00312E5E"/>
    <w:rsid w:val="00312F4C"/>
    <w:rsid w:val="003130FF"/>
    <w:rsid w:val="0031322B"/>
    <w:rsid w:val="003136C3"/>
    <w:rsid w:val="00314474"/>
    <w:rsid w:val="003159D5"/>
    <w:rsid w:val="00315EC5"/>
    <w:rsid w:val="00315FBD"/>
    <w:rsid w:val="0031614D"/>
    <w:rsid w:val="00316265"/>
    <w:rsid w:val="0031651C"/>
    <w:rsid w:val="00316EE9"/>
    <w:rsid w:val="00317434"/>
    <w:rsid w:val="00317B3C"/>
    <w:rsid w:val="00317FA7"/>
    <w:rsid w:val="00321005"/>
    <w:rsid w:val="0032111B"/>
    <w:rsid w:val="0032229A"/>
    <w:rsid w:val="00322D0E"/>
    <w:rsid w:val="0032358E"/>
    <w:rsid w:val="00323955"/>
    <w:rsid w:val="00323C8C"/>
    <w:rsid w:val="003242E7"/>
    <w:rsid w:val="0032449B"/>
    <w:rsid w:val="00324E8C"/>
    <w:rsid w:val="00326AA5"/>
    <w:rsid w:val="003271D1"/>
    <w:rsid w:val="003272B0"/>
    <w:rsid w:val="00327914"/>
    <w:rsid w:val="00327E6C"/>
    <w:rsid w:val="00330658"/>
    <w:rsid w:val="00330A92"/>
    <w:rsid w:val="00330DE3"/>
    <w:rsid w:val="00330E4D"/>
    <w:rsid w:val="00331159"/>
    <w:rsid w:val="00331897"/>
    <w:rsid w:val="003326C8"/>
    <w:rsid w:val="003331EA"/>
    <w:rsid w:val="00334190"/>
    <w:rsid w:val="00335916"/>
    <w:rsid w:val="003360BA"/>
    <w:rsid w:val="003375CA"/>
    <w:rsid w:val="00340C9B"/>
    <w:rsid w:val="00341695"/>
    <w:rsid w:val="00341C69"/>
    <w:rsid w:val="00342185"/>
    <w:rsid w:val="00342BDB"/>
    <w:rsid w:val="00342D66"/>
    <w:rsid w:val="00343355"/>
    <w:rsid w:val="00343612"/>
    <w:rsid w:val="003437F9"/>
    <w:rsid w:val="00343DFB"/>
    <w:rsid w:val="00345C28"/>
    <w:rsid w:val="00345F7E"/>
    <w:rsid w:val="00346274"/>
    <w:rsid w:val="00346B7F"/>
    <w:rsid w:val="00346F9F"/>
    <w:rsid w:val="00347D77"/>
    <w:rsid w:val="0035025D"/>
    <w:rsid w:val="0035098F"/>
    <w:rsid w:val="003509B1"/>
    <w:rsid w:val="003509D7"/>
    <w:rsid w:val="00350E5C"/>
    <w:rsid w:val="00351004"/>
    <w:rsid w:val="0035108C"/>
    <w:rsid w:val="0035232C"/>
    <w:rsid w:val="003523F5"/>
    <w:rsid w:val="00352CD8"/>
    <w:rsid w:val="00352D82"/>
    <w:rsid w:val="00353036"/>
    <w:rsid w:val="00353929"/>
    <w:rsid w:val="00353AAC"/>
    <w:rsid w:val="00353AF1"/>
    <w:rsid w:val="00354351"/>
    <w:rsid w:val="00354973"/>
    <w:rsid w:val="003549E5"/>
    <w:rsid w:val="00355762"/>
    <w:rsid w:val="0035684A"/>
    <w:rsid w:val="00357407"/>
    <w:rsid w:val="0036004C"/>
    <w:rsid w:val="003606AC"/>
    <w:rsid w:val="00360AFB"/>
    <w:rsid w:val="00361ACF"/>
    <w:rsid w:val="003621C3"/>
    <w:rsid w:val="0036232F"/>
    <w:rsid w:val="00364B33"/>
    <w:rsid w:val="00365BCD"/>
    <w:rsid w:val="00365CB8"/>
    <w:rsid w:val="00367096"/>
    <w:rsid w:val="0036742F"/>
    <w:rsid w:val="00367631"/>
    <w:rsid w:val="00370C03"/>
    <w:rsid w:val="0037113C"/>
    <w:rsid w:val="003714DE"/>
    <w:rsid w:val="00372128"/>
    <w:rsid w:val="0037243F"/>
    <w:rsid w:val="00372FC7"/>
    <w:rsid w:val="003731D7"/>
    <w:rsid w:val="003731F5"/>
    <w:rsid w:val="00373714"/>
    <w:rsid w:val="00374972"/>
    <w:rsid w:val="00374C69"/>
    <w:rsid w:val="00375D07"/>
    <w:rsid w:val="003760CE"/>
    <w:rsid w:val="0037666E"/>
    <w:rsid w:val="0037726A"/>
    <w:rsid w:val="0037780C"/>
    <w:rsid w:val="0038012C"/>
    <w:rsid w:val="0038112F"/>
    <w:rsid w:val="00381766"/>
    <w:rsid w:val="0038302C"/>
    <w:rsid w:val="00383240"/>
    <w:rsid w:val="003835F7"/>
    <w:rsid w:val="00383A5F"/>
    <w:rsid w:val="00384280"/>
    <w:rsid w:val="003848C1"/>
    <w:rsid w:val="00384D8A"/>
    <w:rsid w:val="00385CC0"/>
    <w:rsid w:val="003914C9"/>
    <w:rsid w:val="003934C7"/>
    <w:rsid w:val="00393863"/>
    <w:rsid w:val="0039394C"/>
    <w:rsid w:val="00394301"/>
    <w:rsid w:val="00394382"/>
    <w:rsid w:val="00394CAF"/>
    <w:rsid w:val="003955DE"/>
    <w:rsid w:val="0039656B"/>
    <w:rsid w:val="00396674"/>
    <w:rsid w:val="00396F9A"/>
    <w:rsid w:val="003976F4"/>
    <w:rsid w:val="0039781E"/>
    <w:rsid w:val="003A07E4"/>
    <w:rsid w:val="003A1553"/>
    <w:rsid w:val="003A2A89"/>
    <w:rsid w:val="003A3671"/>
    <w:rsid w:val="003A36A8"/>
    <w:rsid w:val="003A378B"/>
    <w:rsid w:val="003A38DA"/>
    <w:rsid w:val="003A50FB"/>
    <w:rsid w:val="003A5B4F"/>
    <w:rsid w:val="003A6315"/>
    <w:rsid w:val="003A67F9"/>
    <w:rsid w:val="003A6B79"/>
    <w:rsid w:val="003B0251"/>
    <w:rsid w:val="003B1484"/>
    <w:rsid w:val="003B25EE"/>
    <w:rsid w:val="003B2966"/>
    <w:rsid w:val="003B4B6A"/>
    <w:rsid w:val="003B4B95"/>
    <w:rsid w:val="003B6FC3"/>
    <w:rsid w:val="003B7099"/>
    <w:rsid w:val="003B7E64"/>
    <w:rsid w:val="003C08D3"/>
    <w:rsid w:val="003C105F"/>
    <w:rsid w:val="003C1645"/>
    <w:rsid w:val="003C1712"/>
    <w:rsid w:val="003C187C"/>
    <w:rsid w:val="003C1CA2"/>
    <w:rsid w:val="003C2188"/>
    <w:rsid w:val="003C2E74"/>
    <w:rsid w:val="003C2EB2"/>
    <w:rsid w:val="003C307C"/>
    <w:rsid w:val="003C3E97"/>
    <w:rsid w:val="003C3FAC"/>
    <w:rsid w:val="003C4A8C"/>
    <w:rsid w:val="003C4CE9"/>
    <w:rsid w:val="003C621A"/>
    <w:rsid w:val="003C7A67"/>
    <w:rsid w:val="003D018D"/>
    <w:rsid w:val="003D1A92"/>
    <w:rsid w:val="003D3364"/>
    <w:rsid w:val="003D3997"/>
    <w:rsid w:val="003D3D5B"/>
    <w:rsid w:val="003D46BC"/>
    <w:rsid w:val="003D505F"/>
    <w:rsid w:val="003D6899"/>
    <w:rsid w:val="003D6DE3"/>
    <w:rsid w:val="003D7245"/>
    <w:rsid w:val="003D7B0D"/>
    <w:rsid w:val="003D7B6A"/>
    <w:rsid w:val="003D7E5D"/>
    <w:rsid w:val="003D7E91"/>
    <w:rsid w:val="003E03E8"/>
    <w:rsid w:val="003E0754"/>
    <w:rsid w:val="003E092F"/>
    <w:rsid w:val="003E10AF"/>
    <w:rsid w:val="003E1532"/>
    <w:rsid w:val="003E201E"/>
    <w:rsid w:val="003E2808"/>
    <w:rsid w:val="003E3AF0"/>
    <w:rsid w:val="003E3B1A"/>
    <w:rsid w:val="003E3F20"/>
    <w:rsid w:val="003E46BB"/>
    <w:rsid w:val="003E5246"/>
    <w:rsid w:val="003E53F8"/>
    <w:rsid w:val="003E5E33"/>
    <w:rsid w:val="003E6652"/>
    <w:rsid w:val="003E691C"/>
    <w:rsid w:val="003E7B86"/>
    <w:rsid w:val="003E7C35"/>
    <w:rsid w:val="003F008A"/>
    <w:rsid w:val="003F09EA"/>
    <w:rsid w:val="003F0B20"/>
    <w:rsid w:val="003F149A"/>
    <w:rsid w:val="003F1AC4"/>
    <w:rsid w:val="003F213C"/>
    <w:rsid w:val="003F23D1"/>
    <w:rsid w:val="003F25DF"/>
    <w:rsid w:val="003F3399"/>
    <w:rsid w:val="003F3685"/>
    <w:rsid w:val="003F4236"/>
    <w:rsid w:val="003F4604"/>
    <w:rsid w:val="003F49C9"/>
    <w:rsid w:val="003F4C79"/>
    <w:rsid w:val="003F4E89"/>
    <w:rsid w:val="003F4F9E"/>
    <w:rsid w:val="003F5E06"/>
    <w:rsid w:val="003F5E0E"/>
    <w:rsid w:val="003F5E79"/>
    <w:rsid w:val="003F63E5"/>
    <w:rsid w:val="003F7B40"/>
    <w:rsid w:val="003F7D70"/>
    <w:rsid w:val="00400674"/>
    <w:rsid w:val="00400723"/>
    <w:rsid w:val="00401BEC"/>
    <w:rsid w:val="0040317A"/>
    <w:rsid w:val="0040410B"/>
    <w:rsid w:val="004042A0"/>
    <w:rsid w:val="004047AA"/>
    <w:rsid w:val="00404C1D"/>
    <w:rsid w:val="0040516F"/>
    <w:rsid w:val="00405995"/>
    <w:rsid w:val="00405F5A"/>
    <w:rsid w:val="004060CB"/>
    <w:rsid w:val="004066DA"/>
    <w:rsid w:val="004069AA"/>
    <w:rsid w:val="004071F0"/>
    <w:rsid w:val="00407471"/>
    <w:rsid w:val="00407A9D"/>
    <w:rsid w:val="00411707"/>
    <w:rsid w:val="004121F8"/>
    <w:rsid w:val="00412680"/>
    <w:rsid w:val="00412854"/>
    <w:rsid w:val="004129AF"/>
    <w:rsid w:val="004138F7"/>
    <w:rsid w:val="00413988"/>
    <w:rsid w:val="00414D71"/>
    <w:rsid w:val="00415549"/>
    <w:rsid w:val="00415650"/>
    <w:rsid w:val="004156F1"/>
    <w:rsid w:val="004157E5"/>
    <w:rsid w:val="00415FCA"/>
    <w:rsid w:val="004166EB"/>
    <w:rsid w:val="00416B52"/>
    <w:rsid w:val="00416B8A"/>
    <w:rsid w:val="004174A3"/>
    <w:rsid w:val="004204D0"/>
    <w:rsid w:val="00420699"/>
    <w:rsid w:val="00420E65"/>
    <w:rsid w:val="00420F2B"/>
    <w:rsid w:val="00421045"/>
    <w:rsid w:val="0042252E"/>
    <w:rsid w:val="00423FBF"/>
    <w:rsid w:val="00424343"/>
    <w:rsid w:val="00424956"/>
    <w:rsid w:val="0042510B"/>
    <w:rsid w:val="004251B4"/>
    <w:rsid w:val="0042541A"/>
    <w:rsid w:val="00425770"/>
    <w:rsid w:val="00425A75"/>
    <w:rsid w:val="00426540"/>
    <w:rsid w:val="00426551"/>
    <w:rsid w:val="0043080F"/>
    <w:rsid w:val="00431982"/>
    <w:rsid w:val="004323F5"/>
    <w:rsid w:val="00432546"/>
    <w:rsid w:val="0043254E"/>
    <w:rsid w:val="00432D52"/>
    <w:rsid w:val="00434BA3"/>
    <w:rsid w:val="00434C91"/>
    <w:rsid w:val="004362EC"/>
    <w:rsid w:val="004364AC"/>
    <w:rsid w:val="004379D0"/>
    <w:rsid w:val="00440590"/>
    <w:rsid w:val="0044207D"/>
    <w:rsid w:val="00442116"/>
    <w:rsid w:val="00443393"/>
    <w:rsid w:val="00443D92"/>
    <w:rsid w:val="00444BB5"/>
    <w:rsid w:val="00444BE0"/>
    <w:rsid w:val="004458BF"/>
    <w:rsid w:val="0044644B"/>
    <w:rsid w:val="00446EAF"/>
    <w:rsid w:val="0044720A"/>
    <w:rsid w:val="00450058"/>
    <w:rsid w:val="00450A94"/>
    <w:rsid w:val="00451194"/>
    <w:rsid w:val="00451D26"/>
    <w:rsid w:val="00451D5A"/>
    <w:rsid w:val="00452A34"/>
    <w:rsid w:val="00452FB5"/>
    <w:rsid w:val="0045327F"/>
    <w:rsid w:val="00453D63"/>
    <w:rsid w:val="004541C0"/>
    <w:rsid w:val="00454486"/>
    <w:rsid w:val="004546B6"/>
    <w:rsid w:val="00454C47"/>
    <w:rsid w:val="00456590"/>
    <w:rsid w:val="0045678C"/>
    <w:rsid w:val="00460225"/>
    <w:rsid w:val="0046047F"/>
    <w:rsid w:val="004614C6"/>
    <w:rsid w:val="0046165F"/>
    <w:rsid w:val="00461F5F"/>
    <w:rsid w:val="0046218E"/>
    <w:rsid w:val="00462E0E"/>
    <w:rsid w:val="004633C3"/>
    <w:rsid w:val="00463EB1"/>
    <w:rsid w:val="0046624C"/>
    <w:rsid w:val="004662EC"/>
    <w:rsid w:val="0046700E"/>
    <w:rsid w:val="00467406"/>
    <w:rsid w:val="004674F4"/>
    <w:rsid w:val="004679E0"/>
    <w:rsid w:val="00467C00"/>
    <w:rsid w:val="00467C9A"/>
    <w:rsid w:val="00471BF1"/>
    <w:rsid w:val="00472651"/>
    <w:rsid w:val="00472976"/>
    <w:rsid w:val="00472A71"/>
    <w:rsid w:val="00472AF3"/>
    <w:rsid w:val="004730B6"/>
    <w:rsid w:val="004739CE"/>
    <w:rsid w:val="00474432"/>
    <w:rsid w:val="0047472A"/>
    <w:rsid w:val="00475BEE"/>
    <w:rsid w:val="004760DB"/>
    <w:rsid w:val="00476A44"/>
    <w:rsid w:val="00476C5D"/>
    <w:rsid w:val="004776BB"/>
    <w:rsid w:val="00477DB2"/>
    <w:rsid w:val="004802EC"/>
    <w:rsid w:val="00480E4B"/>
    <w:rsid w:val="004815B5"/>
    <w:rsid w:val="00481EE0"/>
    <w:rsid w:val="00482114"/>
    <w:rsid w:val="00482815"/>
    <w:rsid w:val="00482B46"/>
    <w:rsid w:val="00483AC3"/>
    <w:rsid w:val="0048458C"/>
    <w:rsid w:val="004846C4"/>
    <w:rsid w:val="00484B2E"/>
    <w:rsid w:val="00484CCD"/>
    <w:rsid w:val="00484FEC"/>
    <w:rsid w:val="004850B3"/>
    <w:rsid w:val="00485422"/>
    <w:rsid w:val="00486056"/>
    <w:rsid w:val="004861F6"/>
    <w:rsid w:val="00486D41"/>
    <w:rsid w:val="00486ED4"/>
    <w:rsid w:val="004917CD"/>
    <w:rsid w:val="00491D98"/>
    <w:rsid w:val="004932C7"/>
    <w:rsid w:val="00493B07"/>
    <w:rsid w:val="00493FC5"/>
    <w:rsid w:val="004957F8"/>
    <w:rsid w:val="00495A03"/>
    <w:rsid w:val="00495E89"/>
    <w:rsid w:val="00496F95"/>
    <w:rsid w:val="00497C31"/>
    <w:rsid w:val="004A012E"/>
    <w:rsid w:val="004A03C5"/>
    <w:rsid w:val="004A0596"/>
    <w:rsid w:val="004A0AD6"/>
    <w:rsid w:val="004A0E29"/>
    <w:rsid w:val="004A198C"/>
    <w:rsid w:val="004A24B3"/>
    <w:rsid w:val="004A2FF2"/>
    <w:rsid w:val="004A3339"/>
    <w:rsid w:val="004A5E0A"/>
    <w:rsid w:val="004A6111"/>
    <w:rsid w:val="004A7388"/>
    <w:rsid w:val="004A7427"/>
    <w:rsid w:val="004A75C0"/>
    <w:rsid w:val="004A7832"/>
    <w:rsid w:val="004A7E4F"/>
    <w:rsid w:val="004A7F5C"/>
    <w:rsid w:val="004B0040"/>
    <w:rsid w:val="004B0063"/>
    <w:rsid w:val="004B0230"/>
    <w:rsid w:val="004B0799"/>
    <w:rsid w:val="004B0B15"/>
    <w:rsid w:val="004B2A0F"/>
    <w:rsid w:val="004B2A1D"/>
    <w:rsid w:val="004B348C"/>
    <w:rsid w:val="004B39B1"/>
    <w:rsid w:val="004B4852"/>
    <w:rsid w:val="004B522C"/>
    <w:rsid w:val="004B58CC"/>
    <w:rsid w:val="004B5ECC"/>
    <w:rsid w:val="004B651C"/>
    <w:rsid w:val="004B6B8E"/>
    <w:rsid w:val="004B7817"/>
    <w:rsid w:val="004B794E"/>
    <w:rsid w:val="004B7ABD"/>
    <w:rsid w:val="004C0745"/>
    <w:rsid w:val="004C0A11"/>
    <w:rsid w:val="004C1947"/>
    <w:rsid w:val="004C1AF3"/>
    <w:rsid w:val="004C30D6"/>
    <w:rsid w:val="004C3650"/>
    <w:rsid w:val="004C3DD7"/>
    <w:rsid w:val="004C4706"/>
    <w:rsid w:val="004C4859"/>
    <w:rsid w:val="004C4FC8"/>
    <w:rsid w:val="004C57B5"/>
    <w:rsid w:val="004C5E9C"/>
    <w:rsid w:val="004C6332"/>
    <w:rsid w:val="004C6DFF"/>
    <w:rsid w:val="004C72A8"/>
    <w:rsid w:val="004C7B72"/>
    <w:rsid w:val="004D0B33"/>
    <w:rsid w:val="004D0EF0"/>
    <w:rsid w:val="004D10E7"/>
    <w:rsid w:val="004D490A"/>
    <w:rsid w:val="004D4C1F"/>
    <w:rsid w:val="004D57DC"/>
    <w:rsid w:val="004D5DE3"/>
    <w:rsid w:val="004D5F3E"/>
    <w:rsid w:val="004D6577"/>
    <w:rsid w:val="004D7846"/>
    <w:rsid w:val="004E21B3"/>
    <w:rsid w:val="004E30F7"/>
    <w:rsid w:val="004E33F9"/>
    <w:rsid w:val="004E3572"/>
    <w:rsid w:val="004E3D86"/>
    <w:rsid w:val="004E4674"/>
    <w:rsid w:val="004E4A9C"/>
    <w:rsid w:val="004E4B47"/>
    <w:rsid w:val="004E4F0C"/>
    <w:rsid w:val="004E4F55"/>
    <w:rsid w:val="004E5254"/>
    <w:rsid w:val="004E532A"/>
    <w:rsid w:val="004E5780"/>
    <w:rsid w:val="004E66EE"/>
    <w:rsid w:val="004E6820"/>
    <w:rsid w:val="004E6839"/>
    <w:rsid w:val="004F06B7"/>
    <w:rsid w:val="004F0815"/>
    <w:rsid w:val="004F0CEB"/>
    <w:rsid w:val="004F1D1C"/>
    <w:rsid w:val="004F1D28"/>
    <w:rsid w:val="004F27FF"/>
    <w:rsid w:val="004F3232"/>
    <w:rsid w:val="004F4C16"/>
    <w:rsid w:val="004F4E08"/>
    <w:rsid w:val="004F556E"/>
    <w:rsid w:val="004F5EAF"/>
    <w:rsid w:val="004F61DA"/>
    <w:rsid w:val="004F6887"/>
    <w:rsid w:val="004F709E"/>
    <w:rsid w:val="004F7552"/>
    <w:rsid w:val="00500308"/>
    <w:rsid w:val="00500AEC"/>
    <w:rsid w:val="00501450"/>
    <w:rsid w:val="005015A2"/>
    <w:rsid w:val="00501E4F"/>
    <w:rsid w:val="00502181"/>
    <w:rsid w:val="00502747"/>
    <w:rsid w:val="00502BEE"/>
    <w:rsid w:val="00502E7F"/>
    <w:rsid w:val="00502FA0"/>
    <w:rsid w:val="00503985"/>
    <w:rsid w:val="00503C11"/>
    <w:rsid w:val="0050432B"/>
    <w:rsid w:val="00504377"/>
    <w:rsid w:val="0050467F"/>
    <w:rsid w:val="005047AF"/>
    <w:rsid w:val="005049E3"/>
    <w:rsid w:val="00505A8D"/>
    <w:rsid w:val="00506E89"/>
    <w:rsid w:val="00507DC0"/>
    <w:rsid w:val="00510455"/>
    <w:rsid w:val="00511032"/>
    <w:rsid w:val="005118D8"/>
    <w:rsid w:val="005131BF"/>
    <w:rsid w:val="005140A4"/>
    <w:rsid w:val="00514CDB"/>
    <w:rsid w:val="005152A5"/>
    <w:rsid w:val="005154A4"/>
    <w:rsid w:val="00515562"/>
    <w:rsid w:val="00515980"/>
    <w:rsid w:val="0051664C"/>
    <w:rsid w:val="005166D8"/>
    <w:rsid w:val="00516CE8"/>
    <w:rsid w:val="00516F2E"/>
    <w:rsid w:val="00517258"/>
    <w:rsid w:val="0051738B"/>
    <w:rsid w:val="00517D2C"/>
    <w:rsid w:val="005206B1"/>
    <w:rsid w:val="00520F42"/>
    <w:rsid w:val="00522EFD"/>
    <w:rsid w:val="00523198"/>
    <w:rsid w:val="00523289"/>
    <w:rsid w:val="00525165"/>
    <w:rsid w:val="00525211"/>
    <w:rsid w:val="00525261"/>
    <w:rsid w:val="00525BE1"/>
    <w:rsid w:val="00525C08"/>
    <w:rsid w:val="00525DD3"/>
    <w:rsid w:val="00526103"/>
    <w:rsid w:val="0052665C"/>
    <w:rsid w:val="00526A8F"/>
    <w:rsid w:val="00526DE1"/>
    <w:rsid w:val="005273DB"/>
    <w:rsid w:val="00527551"/>
    <w:rsid w:val="00527E52"/>
    <w:rsid w:val="00527E70"/>
    <w:rsid w:val="0053017E"/>
    <w:rsid w:val="00530355"/>
    <w:rsid w:val="005307ED"/>
    <w:rsid w:val="00530B7F"/>
    <w:rsid w:val="005313D4"/>
    <w:rsid w:val="00531517"/>
    <w:rsid w:val="00531A4F"/>
    <w:rsid w:val="00531D21"/>
    <w:rsid w:val="00533212"/>
    <w:rsid w:val="00533970"/>
    <w:rsid w:val="00533E61"/>
    <w:rsid w:val="00533F67"/>
    <w:rsid w:val="0053405B"/>
    <w:rsid w:val="00534B8A"/>
    <w:rsid w:val="005353FD"/>
    <w:rsid w:val="005359E5"/>
    <w:rsid w:val="005362D8"/>
    <w:rsid w:val="00536E0C"/>
    <w:rsid w:val="00537951"/>
    <w:rsid w:val="00537968"/>
    <w:rsid w:val="00537BBA"/>
    <w:rsid w:val="00537DCA"/>
    <w:rsid w:val="00540006"/>
    <w:rsid w:val="00540146"/>
    <w:rsid w:val="005403B5"/>
    <w:rsid w:val="0054052D"/>
    <w:rsid w:val="005408CF"/>
    <w:rsid w:val="00540D87"/>
    <w:rsid w:val="00541158"/>
    <w:rsid w:val="00542242"/>
    <w:rsid w:val="00542515"/>
    <w:rsid w:val="00542821"/>
    <w:rsid w:val="0054304E"/>
    <w:rsid w:val="005435A4"/>
    <w:rsid w:val="00543631"/>
    <w:rsid w:val="00543F76"/>
    <w:rsid w:val="005444FD"/>
    <w:rsid w:val="00544EDB"/>
    <w:rsid w:val="00545D82"/>
    <w:rsid w:val="00546235"/>
    <w:rsid w:val="00546475"/>
    <w:rsid w:val="00546685"/>
    <w:rsid w:val="00546794"/>
    <w:rsid w:val="00546C03"/>
    <w:rsid w:val="00547E1C"/>
    <w:rsid w:val="00550065"/>
    <w:rsid w:val="00550BFC"/>
    <w:rsid w:val="00550F1D"/>
    <w:rsid w:val="00551470"/>
    <w:rsid w:val="00551EDF"/>
    <w:rsid w:val="00552C0E"/>
    <w:rsid w:val="00553809"/>
    <w:rsid w:val="00553C57"/>
    <w:rsid w:val="00554E7D"/>
    <w:rsid w:val="00555414"/>
    <w:rsid w:val="00555CD1"/>
    <w:rsid w:val="00555D39"/>
    <w:rsid w:val="00556271"/>
    <w:rsid w:val="00556887"/>
    <w:rsid w:val="00556B0B"/>
    <w:rsid w:val="00556B9E"/>
    <w:rsid w:val="00556ECC"/>
    <w:rsid w:val="00560544"/>
    <w:rsid w:val="005611C1"/>
    <w:rsid w:val="00562EC5"/>
    <w:rsid w:val="00563019"/>
    <w:rsid w:val="00563134"/>
    <w:rsid w:val="00563362"/>
    <w:rsid w:val="00564608"/>
    <w:rsid w:val="005650B8"/>
    <w:rsid w:val="0056512C"/>
    <w:rsid w:val="00565245"/>
    <w:rsid w:val="00565D36"/>
    <w:rsid w:val="00566605"/>
    <w:rsid w:val="00567292"/>
    <w:rsid w:val="005677BC"/>
    <w:rsid w:val="00567F66"/>
    <w:rsid w:val="0057035C"/>
    <w:rsid w:val="0057059C"/>
    <w:rsid w:val="00570BD9"/>
    <w:rsid w:val="00570CFF"/>
    <w:rsid w:val="005710B5"/>
    <w:rsid w:val="00571D47"/>
    <w:rsid w:val="00572228"/>
    <w:rsid w:val="00572568"/>
    <w:rsid w:val="00572701"/>
    <w:rsid w:val="005735ED"/>
    <w:rsid w:val="00573749"/>
    <w:rsid w:val="00573A10"/>
    <w:rsid w:val="00574243"/>
    <w:rsid w:val="0057479E"/>
    <w:rsid w:val="005757CB"/>
    <w:rsid w:val="00576FB2"/>
    <w:rsid w:val="0057764B"/>
    <w:rsid w:val="00580527"/>
    <w:rsid w:val="00580614"/>
    <w:rsid w:val="00580E2C"/>
    <w:rsid w:val="00581072"/>
    <w:rsid w:val="0058121F"/>
    <w:rsid w:val="0058124C"/>
    <w:rsid w:val="005815AF"/>
    <w:rsid w:val="005817B0"/>
    <w:rsid w:val="005818B4"/>
    <w:rsid w:val="00581D99"/>
    <w:rsid w:val="0058292D"/>
    <w:rsid w:val="00582DA5"/>
    <w:rsid w:val="00582FE5"/>
    <w:rsid w:val="005831CD"/>
    <w:rsid w:val="005835A9"/>
    <w:rsid w:val="0058364B"/>
    <w:rsid w:val="00583717"/>
    <w:rsid w:val="00583E59"/>
    <w:rsid w:val="00584EC8"/>
    <w:rsid w:val="0058536C"/>
    <w:rsid w:val="00585721"/>
    <w:rsid w:val="00585924"/>
    <w:rsid w:val="00586642"/>
    <w:rsid w:val="00586B9F"/>
    <w:rsid w:val="00587A6D"/>
    <w:rsid w:val="00587CC8"/>
    <w:rsid w:val="00590268"/>
    <w:rsid w:val="00590289"/>
    <w:rsid w:val="005907A0"/>
    <w:rsid w:val="005911E0"/>
    <w:rsid w:val="00591497"/>
    <w:rsid w:val="00591718"/>
    <w:rsid w:val="00591AF2"/>
    <w:rsid w:val="00591FA3"/>
    <w:rsid w:val="00593159"/>
    <w:rsid w:val="0059376D"/>
    <w:rsid w:val="00593BD2"/>
    <w:rsid w:val="00593CBF"/>
    <w:rsid w:val="00593ED2"/>
    <w:rsid w:val="00593F82"/>
    <w:rsid w:val="00594694"/>
    <w:rsid w:val="00594C80"/>
    <w:rsid w:val="00595432"/>
    <w:rsid w:val="005957B2"/>
    <w:rsid w:val="005959A5"/>
    <w:rsid w:val="00595AAA"/>
    <w:rsid w:val="00596385"/>
    <w:rsid w:val="0059774E"/>
    <w:rsid w:val="00597BFA"/>
    <w:rsid w:val="00597F79"/>
    <w:rsid w:val="005A0B76"/>
    <w:rsid w:val="005A0F0C"/>
    <w:rsid w:val="005A153E"/>
    <w:rsid w:val="005A1A2C"/>
    <w:rsid w:val="005A1D34"/>
    <w:rsid w:val="005A2110"/>
    <w:rsid w:val="005A2197"/>
    <w:rsid w:val="005A2C5D"/>
    <w:rsid w:val="005A2FEA"/>
    <w:rsid w:val="005A3378"/>
    <w:rsid w:val="005A3DB2"/>
    <w:rsid w:val="005A3FB3"/>
    <w:rsid w:val="005A4619"/>
    <w:rsid w:val="005A4A2F"/>
    <w:rsid w:val="005A508F"/>
    <w:rsid w:val="005A54B9"/>
    <w:rsid w:val="005A54FA"/>
    <w:rsid w:val="005A5624"/>
    <w:rsid w:val="005A5C61"/>
    <w:rsid w:val="005B07AC"/>
    <w:rsid w:val="005B0B64"/>
    <w:rsid w:val="005B16FE"/>
    <w:rsid w:val="005B19D9"/>
    <w:rsid w:val="005B299E"/>
    <w:rsid w:val="005B310B"/>
    <w:rsid w:val="005B32FC"/>
    <w:rsid w:val="005B3519"/>
    <w:rsid w:val="005B4076"/>
    <w:rsid w:val="005B42FC"/>
    <w:rsid w:val="005B461B"/>
    <w:rsid w:val="005B4982"/>
    <w:rsid w:val="005B5897"/>
    <w:rsid w:val="005B5915"/>
    <w:rsid w:val="005B66B9"/>
    <w:rsid w:val="005B6DEB"/>
    <w:rsid w:val="005C04C6"/>
    <w:rsid w:val="005C05E0"/>
    <w:rsid w:val="005C0C67"/>
    <w:rsid w:val="005C12BB"/>
    <w:rsid w:val="005C1514"/>
    <w:rsid w:val="005C1819"/>
    <w:rsid w:val="005C1E47"/>
    <w:rsid w:val="005C24C6"/>
    <w:rsid w:val="005C2960"/>
    <w:rsid w:val="005C34A3"/>
    <w:rsid w:val="005C4F0D"/>
    <w:rsid w:val="005C55E8"/>
    <w:rsid w:val="005C587E"/>
    <w:rsid w:val="005C610A"/>
    <w:rsid w:val="005C73DF"/>
    <w:rsid w:val="005C759E"/>
    <w:rsid w:val="005D0112"/>
    <w:rsid w:val="005D05A7"/>
    <w:rsid w:val="005D0E17"/>
    <w:rsid w:val="005D1356"/>
    <w:rsid w:val="005D2081"/>
    <w:rsid w:val="005D24CC"/>
    <w:rsid w:val="005D28B4"/>
    <w:rsid w:val="005D3672"/>
    <w:rsid w:val="005D36D1"/>
    <w:rsid w:val="005D3F4A"/>
    <w:rsid w:val="005D503D"/>
    <w:rsid w:val="005D5275"/>
    <w:rsid w:val="005D60CC"/>
    <w:rsid w:val="005D69E9"/>
    <w:rsid w:val="005D7AB8"/>
    <w:rsid w:val="005D7AC0"/>
    <w:rsid w:val="005D7CAF"/>
    <w:rsid w:val="005E1301"/>
    <w:rsid w:val="005E151C"/>
    <w:rsid w:val="005E1849"/>
    <w:rsid w:val="005E1AB0"/>
    <w:rsid w:val="005E1ABA"/>
    <w:rsid w:val="005E1BFB"/>
    <w:rsid w:val="005E2A22"/>
    <w:rsid w:val="005E3FE5"/>
    <w:rsid w:val="005E493D"/>
    <w:rsid w:val="005E4E7E"/>
    <w:rsid w:val="005E50F1"/>
    <w:rsid w:val="005E5477"/>
    <w:rsid w:val="005E5FF0"/>
    <w:rsid w:val="005E658F"/>
    <w:rsid w:val="005E6F0C"/>
    <w:rsid w:val="005F0621"/>
    <w:rsid w:val="005F1324"/>
    <w:rsid w:val="005F1886"/>
    <w:rsid w:val="005F2044"/>
    <w:rsid w:val="005F21D4"/>
    <w:rsid w:val="005F27E4"/>
    <w:rsid w:val="005F27EF"/>
    <w:rsid w:val="005F2ED9"/>
    <w:rsid w:val="005F3602"/>
    <w:rsid w:val="005F3671"/>
    <w:rsid w:val="005F3EC0"/>
    <w:rsid w:val="005F4049"/>
    <w:rsid w:val="005F4BA4"/>
    <w:rsid w:val="005F5B95"/>
    <w:rsid w:val="005F5D49"/>
    <w:rsid w:val="005F6C01"/>
    <w:rsid w:val="005F6ECC"/>
    <w:rsid w:val="005F745C"/>
    <w:rsid w:val="005F748F"/>
    <w:rsid w:val="005F7CE3"/>
    <w:rsid w:val="00600547"/>
    <w:rsid w:val="00601B9D"/>
    <w:rsid w:val="0060222E"/>
    <w:rsid w:val="0060304B"/>
    <w:rsid w:val="006031B1"/>
    <w:rsid w:val="00603227"/>
    <w:rsid w:val="006043B4"/>
    <w:rsid w:val="00604710"/>
    <w:rsid w:val="0060497F"/>
    <w:rsid w:val="00605169"/>
    <w:rsid w:val="006051C0"/>
    <w:rsid w:val="0060576B"/>
    <w:rsid w:val="006061AC"/>
    <w:rsid w:val="00606C6B"/>
    <w:rsid w:val="00606FEE"/>
    <w:rsid w:val="00607077"/>
    <w:rsid w:val="00607871"/>
    <w:rsid w:val="00607AF0"/>
    <w:rsid w:val="00607FBD"/>
    <w:rsid w:val="00610869"/>
    <w:rsid w:val="0061096A"/>
    <w:rsid w:val="006114F5"/>
    <w:rsid w:val="00611C52"/>
    <w:rsid w:val="006120DA"/>
    <w:rsid w:val="006122A3"/>
    <w:rsid w:val="0061249E"/>
    <w:rsid w:val="006132BF"/>
    <w:rsid w:val="00613900"/>
    <w:rsid w:val="00613903"/>
    <w:rsid w:val="00613D65"/>
    <w:rsid w:val="00614042"/>
    <w:rsid w:val="00614882"/>
    <w:rsid w:val="00614EE4"/>
    <w:rsid w:val="006154A2"/>
    <w:rsid w:val="00615791"/>
    <w:rsid w:val="00616221"/>
    <w:rsid w:val="00616DB8"/>
    <w:rsid w:val="0061732A"/>
    <w:rsid w:val="00617393"/>
    <w:rsid w:val="00617A91"/>
    <w:rsid w:val="00617A94"/>
    <w:rsid w:val="006204BB"/>
    <w:rsid w:val="006205A3"/>
    <w:rsid w:val="006213F1"/>
    <w:rsid w:val="00621AC4"/>
    <w:rsid w:val="0062285A"/>
    <w:rsid w:val="00622A16"/>
    <w:rsid w:val="00623149"/>
    <w:rsid w:val="006238CF"/>
    <w:rsid w:val="00623951"/>
    <w:rsid w:val="00623D6B"/>
    <w:rsid w:val="00623F50"/>
    <w:rsid w:val="00625388"/>
    <w:rsid w:val="00625D0A"/>
    <w:rsid w:val="00625E52"/>
    <w:rsid w:val="00625F9F"/>
    <w:rsid w:val="00626E82"/>
    <w:rsid w:val="00626FA4"/>
    <w:rsid w:val="00627BC9"/>
    <w:rsid w:val="00630D97"/>
    <w:rsid w:val="006349E6"/>
    <w:rsid w:val="0063559E"/>
    <w:rsid w:val="006368CC"/>
    <w:rsid w:val="006368D8"/>
    <w:rsid w:val="00636928"/>
    <w:rsid w:val="00636DBB"/>
    <w:rsid w:val="00636FEF"/>
    <w:rsid w:val="00637025"/>
    <w:rsid w:val="00637054"/>
    <w:rsid w:val="00637B10"/>
    <w:rsid w:val="006418C2"/>
    <w:rsid w:val="00641B7D"/>
    <w:rsid w:val="00641D1C"/>
    <w:rsid w:val="00642199"/>
    <w:rsid w:val="006424EC"/>
    <w:rsid w:val="0064269D"/>
    <w:rsid w:val="00642ACC"/>
    <w:rsid w:val="00643FC2"/>
    <w:rsid w:val="00646716"/>
    <w:rsid w:val="00646C7E"/>
    <w:rsid w:val="00647A9C"/>
    <w:rsid w:val="00650294"/>
    <w:rsid w:val="006505BC"/>
    <w:rsid w:val="00650CA8"/>
    <w:rsid w:val="00651D49"/>
    <w:rsid w:val="00653958"/>
    <w:rsid w:val="00653C0C"/>
    <w:rsid w:val="00653C27"/>
    <w:rsid w:val="00653C5F"/>
    <w:rsid w:val="00654646"/>
    <w:rsid w:val="00654A22"/>
    <w:rsid w:val="00654E29"/>
    <w:rsid w:val="00655459"/>
    <w:rsid w:val="00655B3C"/>
    <w:rsid w:val="00655F4F"/>
    <w:rsid w:val="00656172"/>
    <w:rsid w:val="00656791"/>
    <w:rsid w:val="006568A7"/>
    <w:rsid w:val="00656A4B"/>
    <w:rsid w:val="00656AE7"/>
    <w:rsid w:val="00657224"/>
    <w:rsid w:val="00657901"/>
    <w:rsid w:val="00657E0F"/>
    <w:rsid w:val="00660E99"/>
    <w:rsid w:val="00661AA1"/>
    <w:rsid w:val="00661C71"/>
    <w:rsid w:val="006623A8"/>
    <w:rsid w:val="006625B1"/>
    <w:rsid w:val="00662CC8"/>
    <w:rsid w:val="006630BC"/>
    <w:rsid w:val="00663366"/>
    <w:rsid w:val="006641A4"/>
    <w:rsid w:val="006643B7"/>
    <w:rsid w:val="00664634"/>
    <w:rsid w:val="00665498"/>
    <w:rsid w:val="00665BA3"/>
    <w:rsid w:val="006661C6"/>
    <w:rsid w:val="006663B0"/>
    <w:rsid w:val="006669F7"/>
    <w:rsid w:val="00666B6F"/>
    <w:rsid w:val="00670751"/>
    <w:rsid w:val="00670CF3"/>
    <w:rsid w:val="00671141"/>
    <w:rsid w:val="006714FF"/>
    <w:rsid w:val="006718AE"/>
    <w:rsid w:val="00671A50"/>
    <w:rsid w:val="00671EC7"/>
    <w:rsid w:val="00672F25"/>
    <w:rsid w:val="006735FB"/>
    <w:rsid w:val="00673837"/>
    <w:rsid w:val="00674983"/>
    <w:rsid w:val="006749BF"/>
    <w:rsid w:val="00674C78"/>
    <w:rsid w:val="006751BD"/>
    <w:rsid w:val="006751F4"/>
    <w:rsid w:val="006752D6"/>
    <w:rsid w:val="006754AD"/>
    <w:rsid w:val="00675C72"/>
    <w:rsid w:val="0067613F"/>
    <w:rsid w:val="006763E8"/>
    <w:rsid w:val="00676996"/>
    <w:rsid w:val="006804DF"/>
    <w:rsid w:val="0068077D"/>
    <w:rsid w:val="00680A22"/>
    <w:rsid w:val="00680C89"/>
    <w:rsid w:val="006814D5"/>
    <w:rsid w:val="006817D5"/>
    <w:rsid w:val="00681A66"/>
    <w:rsid w:val="00681F09"/>
    <w:rsid w:val="00681FB0"/>
    <w:rsid w:val="00682288"/>
    <w:rsid w:val="006824DA"/>
    <w:rsid w:val="00682E05"/>
    <w:rsid w:val="00683656"/>
    <w:rsid w:val="0068452A"/>
    <w:rsid w:val="00684DE0"/>
    <w:rsid w:val="00685A80"/>
    <w:rsid w:val="006864BE"/>
    <w:rsid w:val="0068652F"/>
    <w:rsid w:val="006866BA"/>
    <w:rsid w:val="00687AD7"/>
    <w:rsid w:val="006900D3"/>
    <w:rsid w:val="006906E4"/>
    <w:rsid w:val="0069081A"/>
    <w:rsid w:val="00691338"/>
    <w:rsid w:val="00691477"/>
    <w:rsid w:val="00692078"/>
    <w:rsid w:val="0069272D"/>
    <w:rsid w:val="006935B2"/>
    <w:rsid w:val="006944AC"/>
    <w:rsid w:val="006945BC"/>
    <w:rsid w:val="00694980"/>
    <w:rsid w:val="00694A7D"/>
    <w:rsid w:val="00695693"/>
    <w:rsid w:val="0069592F"/>
    <w:rsid w:val="006962B0"/>
    <w:rsid w:val="006A0DE3"/>
    <w:rsid w:val="006A1976"/>
    <w:rsid w:val="006A1F6A"/>
    <w:rsid w:val="006A2705"/>
    <w:rsid w:val="006A2ED5"/>
    <w:rsid w:val="006A31EA"/>
    <w:rsid w:val="006A3858"/>
    <w:rsid w:val="006A5A6F"/>
    <w:rsid w:val="006A678B"/>
    <w:rsid w:val="006A6C8C"/>
    <w:rsid w:val="006A6EE5"/>
    <w:rsid w:val="006A7240"/>
    <w:rsid w:val="006A75F7"/>
    <w:rsid w:val="006A78C7"/>
    <w:rsid w:val="006B0780"/>
    <w:rsid w:val="006B0BE4"/>
    <w:rsid w:val="006B321A"/>
    <w:rsid w:val="006B3768"/>
    <w:rsid w:val="006B38AC"/>
    <w:rsid w:val="006B3F45"/>
    <w:rsid w:val="006B4128"/>
    <w:rsid w:val="006B4DA1"/>
    <w:rsid w:val="006B4EE0"/>
    <w:rsid w:val="006B5054"/>
    <w:rsid w:val="006B75D1"/>
    <w:rsid w:val="006B7608"/>
    <w:rsid w:val="006B77AA"/>
    <w:rsid w:val="006B7A40"/>
    <w:rsid w:val="006B7AA3"/>
    <w:rsid w:val="006B7AED"/>
    <w:rsid w:val="006B7C44"/>
    <w:rsid w:val="006C060A"/>
    <w:rsid w:val="006C1743"/>
    <w:rsid w:val="006C1B53"/>
    <w:rsid w:val="006C1FA1"/>
    <w:rsid w:val="006C273F"/>
    <w:rsid w:val="006C5896"/>
    <w:rsid w:val="006C6B2A"/>
    <w:rsid w:val="006C6C0B"/>
    <w:rsid w:val="006C7210"/>
    <w:rsid w:val="006C789B"/>
    <w:rsid w:val="006C7D05"/>
    <w:rsid w:val="006C7E8F"/>
    <w:rsid w:val="006D13A8"/>
    <w:rsid w:val="006D1C16"/>
    <w:rsid w:val="006D2A89"/>
    <w:rsid w:val="006D2B5C"/>
    <w:rsid w:val="006D3578"/>
    <w:rsid w:val="006D3A0B"/>
    <w:rsid w:val="006D3A3C"/>
    <w:rsid w:val="006D3B7F"/>
    <w:rsid w:val="006D425B"/>
    <w:rsid w:val="006D543A"/>
    <w:rsid w:val="006D596C"/>
    <w:rsid w:val="006D61D3"/>
    <w:rsid w:val="006D74BF"/>
    <w:rsid w:val="006D7A96"/>
    <w:rsid w:val="006D7DE2"/>
    <w:rsid w:val="006E021A"/>
    <w:rsid w:val="006E1D2A"/>
    <w:rsid w:val="006E1F1C"/>
    <w:rsid w:val="006E3224"/>
    <w:rsid w:val="006E33F8"/>
    <w:rsid w:val="006E36D5"/>
    <w:rsid w:val="006E396D"/>
    <w:rsid w:val="006E3F7F"/>
    <w:rsid w:val="006E40D6"/>
    <w:rsid w:val="006E4802"/>
    <w:rsid w:val="006E5254"/>
    <w:rsid w:val="006E5566"/>
    <w:rsid w:val="006E5DC2"/>
    <w:rsid w:val="006E651F"/>
    <w:rsid w:val="006E657F"/>
    <w:rsid w:val="006E6D73"/>
    <w:rsid w:val="006E713E"/>
    <w:rsid w:val="006E7507"/>
    <w:rsid w:val="006E7ACB"/>
    <w:rsid w:val="006F04A4"/>
    <w:rsid w:val="006F0719"/>
    <w:rsid w:val="006F09D8"/>
    <w:rsid w:val="006F0A73"/>
    <w:rsid w:val="006F1299"/>
    <w:rsid w:val="006F131E"/>
    <w:rsid w:val="006F1396"/>
    <w:rsid w:val="006F16D1"/>
    <w:rsid w:val="006F1745"/>
    <w:rsid w:val="006F1D4A"/>
    <w:rsid w:val="006F2BEB"/>
    <w:rsid w:val="006F3505"/>
    <w:rsid w:val="006F418D"/>
    <w:rsid w:val="006F44CF"/>
    <w:rsid w:val="006F4B3D"/>
    <w:rsid w:val="006F53A3"/>
    <w:rsid w:val="006F6012"/>
    <w:rsid w:val="006F6A39"/>
    <w:rsid w:val="006F7716"/>
    <w:rsid w:val="006F7B6F"/>
    <w:rsid w:val="006F7DBB"/>
    <w:rsid w:val="00700424"/>
    <w:rsid w:val="00700E24"/>
    <w:rsid w:val="00701727"/>
    <w:rsid w:val="007046C8"/>
    <w:rsid w:val="00704C3A"/>
    <w:rsid w:val="00705220"/>
    <w:rsid w:val="00705EBB"/>
    <w:rsid w:val="007063E9"/>
    <w:rsid w:val="00706D47"/>
    <w:rsid w:val="00706FC5"/>
    <w:rsid w:val="00706FF3"/>
    <w:rsid w:val="0070713B"/>
    <w:rsid w:val="00707367"/>
    <w:rsid w:val="0070760A"/>
    <w:rsid w:val="00710DC2"/>
    <w:rsid w:val="00711974"/>
    <w:rsid w:val="00711AD4"/>
    <w:rsid w:val="0071263C"/>
    <w:rsid w:val="00712D6B"/>
    <w:rsid w:val="007135C6"/>
    <w:rsid w:val="00713955"/>
    <w:rsid w:val="00713964"/>
    <w:rsid w:val="00713C60"/>
    <w:rsid w:val="007147A4"/>
    <w:rsid w:val="00714A94"/>
    <w:rsid w:val="00714D14"/>
    <w:rsid w:val="00715050"/>
    <w:rsid w:val="007155C2"/>
    <w:rsid w:val="0071664D"/>
    <w:rsid w:val="007167B0"/>
    <w:rsid w:val="0071741D"/>
    <w:rsid w:val="00717BA2"/>
    <w:rsid w:val="0072060A"/>
    <w:rsid w:val="007208EE"/>
    <w:rsid w:val="00720C1C"/>
    <w:rsid w:val="00720EB3"/>
    <w:rsid w:val="007211F1"/>
    <w:rsid w:val="00721257"/>
    <w:rsid w:val="007212FD"/>
    <w:rsid w:val="00721708"/>
    <w:rsid w:val="007223B2"/>
    <w:rsid w:val="00722620"/>
    <w:rsid w:val="007227D0"/>
    <w:rsid w:val="00722D62"/>
    <w:rsid w:val="00722E1C"/>
    <w:rsid w:val="00723378"/>
    <w:rsid w:val="00723655"/>
    <w:rsid w:val="007239E6"/>
    <w:rsid w:val="00724A90"/>
    <w:rsid w:val="00724EEB"/>
    <w:rsid w:val="00725123"/>
    <w:rsid w:val="00725608"/>
    <w:rsid w:val="00726034"/>
    <w:rsid w:val="0072660A"/>
    <w:rsid w:val="007266D6"/>
    <w:rsid w:val="007267D9"/>
    <w:rsid w:val="00726A82"/>
    <w:rsid w:val="007274CA"/>
    <w:rsid w:val="00727791"/>
    <w:rsid w:val="007277E8"/>
    <w:rsid w:val="00727A6E"/>
    <w:rsid w:val="00730581"/>
    <w:rsid w:val="00730600"/>
    <w:rsid w:val="00730E71"/>
    <w:rsid w:val="007313E2"/>
    <w:rsid w:val="00731A22"/>
    <w:rsid w:val="00732642"/>
    <w:rsid w:val="00732777"/>
    <w:rsid w:val="00732BFC"/>
    <w:rsid w:val="00732D2A"/>
    <w:rsid w:val="007331AB"/>
    <w:rsid w:val="0073323B"/>
    <w:rsid w:val="0073472C"/>
    <w:rsid w:val="00735A0C"/>
    <w:rsid w:val="00735E2D"/>
    <w:rsid w:val="00736030"/>
    <w:rsid w:val="00737015"/>
    <w:rsid w:val="0073703C"/>
    <w:rsid w:val="007372E5"/>
    <w:rsid w:val="00737B01"/>
    <w:rsid w:val="00740EBE"/>
    <w:rsid w:val="00740F6C"/>
    <w:rsid w:val="007410EF"/>
    <w:rsid w:val="0074110A"/>
    <w:rsid w:val="00742731"/>
    <w:rsid w:val="007430C8"/>
    <w:rsid w:val="00743E33"/>
    <w:rsid w:val="0074411F"/>
    <w:rsid w:val="0074426C"/>
    <w:rsid w:val="007444CC"/>
    <w:rsid w:val="00744AA8"/>
    <w:rsid w:val="00744AEF"/>
    <w:rsid w:val="00745216"/>
    <w:rsid w:val="0074526B"/>
    <w:rsid w:val="007452A2"/>
    <w:rsid w:val="00745709"/>
    <w:rsid w:val="007459E2"/>
    <w:rsid w:val="00745B42"/>
    <w:rsid w:val="00745CB0"/>
    <w:rsid w:val="007473BF"/>
    <w:rsid w:val="007476A8"/>
    <w:rsid w:val="00747A29"/>
    <w:rsid w:val="00747EBE"/>
    <w:rsid w:val="0075019D"/>
    <w:rsid w:val="00750B75"/>
    <w:rsid w:val="00751693"/>
    <w:rsid w:val="00751A31"/>
    <w:rsid w:val="00752AC8"/>
    <w:rsid w:val="00752C63"/>
    <w:rsid w:val="007540B2"/>
    <w:rsid w:val="00754ED5"/>
    <w:rsid w:val="0075527E"/>
    <w:rsid w:val="007558CF"/>
    <w:rsid w:val="00755BB1"/>
    <w:rsid w:val="007564CB"/>
    <w:rsid w:val="00756B3F"/>
    <w:rsid w:val="00756B69"/>
    <w:rsid w:val="00757026"/>
    <w:rsid w:val="007570FA"/>
    <w:rsid w:val="0075789A"/>
    <w:rsid w:val="00757B1E"/>
    <w:rsid w:val="007603B3"/>
    <w:rsid w:val="0076171E"/>
    <w:rsid w:val="00762481"/>
    <w:rsid w:val="0076282F"/>
    <w:rsid w:val="00762B01"/>
    <w:rsid w:val="00762C68"/>
    <w:rsid w:val="00763C63"/>
    <w:rsid w:val="007640AF"/>
    <w:rsid w:val="00764387"/>
    <w:rsid w:val="00764DC4"/>
    <w:rsid w:val="007653B7"/>
    <w:rsid w:val="00765C50"/>
    <w:rsid w:val="00766A72"/>
    <w:rsid w:val="007671B1"/>
    <w:rsid w:val="0076755F"/>
    <w:rsid w:val="00767678"/>
    <w:rsid w:val="00767F31"/>
    <w:rsid w:val="00770691"/>
    <w:rsid w:val="007707B1"/>
    <w:rsid w:val="00770DA5"/>
    <w:rsid w:val="00772160"/>
    <w:rsid w:val="00772DD1"/>
    <w:rsid w:val="0077326D"/>
    <w:rsid w:val="0077534B"/>
    <w:rsid w:val="0077535D"/>
    <w:rsid w:val="00775596"/>
    <w:rsid w:val="007755CA"/>
    <w:rsid w:val="00775D57"/>
    <w:rsid w:val="00775FCF"/>
    <w:rsid w:val="007764FF"/>
    <w:rsid w:val="0077656E"/>
    <w:rsid w:val="00776817"/>
    <w:rsid w:val="00777265"/>
    <w:rsid w:val="00780488"/>
    <w:rsid w:val="00780541"/>
    <w:rsid w:val="00780887"/>
    <w:rsid w:val="00780C11"/>
    <w:rsid w:val="00780EA3"/>
    <w:rsid w:val="00780EF5"/>
    <w:rsid w:val="007812D6"/>
    <w:rsid w:val="00781616"/>
    <w:rsid w:val="0078249E"/>
    <w:rsid w:val="00782778"/>
    <w:rsid w:val="0078309B"/>
    <w:rsid w:val="0078358F"/>
    <w:rsid w:val="0078392A"/>
    <w:rsid w:val="00784FD0"/>
    <w:rsid w:val="00785DE8"/>
    <w:rsid w:val="00786FAB"/>
    <w:rsid w:val="00786FC8"/>
    <w:rsid w:val="007875B9"/>
    <w:rsid w:val="007876F2"/>
    <w:rsid w:val="00791710"/>
    <w:rsid w:val="00791906"/>
    <w:rsid w:val="00791A57"/>
    <w:rsid w:val="00791C56"/>
    <w:rsid w:val="00791E55"/>
    <w:rsid w:val="007920F4"/>
    <w:rsid w:val="00792B21"/>
    <w:rsid w:val="00793428"/>
    <w:rsid w:val="00793994"/>
    <w:rsid w:val="00793B98"/>
    <w:rsid w:val="00793E2E"/>
    <w:rsid w:val="00793E7D"/>
    <w:rsid w:val="0079476E"/>
    <w:rsid w:val="00795CEC"/>
    <w:rsid w:val="007963A5"/>
    <w:rsid w:val="00796AA5"/>
    <w:rsid w:val="00796AED"/>
    <w:rsid w:val="00797A28"/>
    <w:rsid w:val="00797BA6"/>
    <w:rsid w:val="00797D73"/>
    <w:rsid w:val="00797F6B"/>
    <w:rsid w:val="007A03F2"/>
    <w:rsid w:val="007A10AD"/>
    <w:rsid w:val="007A167D"/>
    <w:rsid w:val="007A1749"/>
    <w:rsid w:val="007A42B2"/>
    <w:rsid w:val="007A4F77"/>
    <w:rsid w:val="007A5637"/>
    <w:rsid w:val="007A6485"/>
    <w:rsid w:val="007A7E30"/>
    <w:rsid w:val="007B06A7"/>
    <w:rsid w:val="007B0D7A"/>
    <w:rsid w:val="007B100F"/>
    <w:rsid w:val="007B2915"/>
    <w:rsid w:val="007B308F"/>
    <w:rsid w:val="007B33C5"/>
    <w:rsid w:val="007B3AC8"/>
    <w:rsid w:val="007B4464"/>
    <w:rsid w:val="007B45BC"/>
    <w:rsid w:val="007B4A0E"/>
    <w:rsid w:val="007B4C7E"/>
    <w:rsid w:val="007B553E"/>
    <w:rsid w:val="007B57EE"/>
    <w:rsid w:val="007B5AB0"/>
    <w:rsid w:val="007B6B0D"/>
    <w:rsid w:val="007B6C69"/>
    <w:rsid w:val="007C0781"/>
    <w:rsid w:val="007C0AD7"/>
    <w:rsid w:val="007C11E7"/>
    <w:rsid w:val="007C15AC"/>
    <w:rsid w:val="007C18D4"/>
    <w:rsid w:val="007C1D23"/>
    <w:rsid w:val="007C3071"/>
    <w:rsid w:val="007C3718"/>
    <w:rsid w:val="007C38CF"/>
    <w:rsid w:val="007C3FF0"/>
    <w:rsid w:val="007C566B"/>
    <w:rsid w:val="007C6125"/>
    <w:rsid w:val="007C6CCF"/>
    <w:rsid w:val="007C701D"/>
    <w:rsid w:val="007C73CA"/>
    <w:rsid w:val="007C79B5"/>
    <w:rsid w:val="007C7F2B"/>
    <w:rsid w:val="007D00EA"/>
    <w:rsid w:val="007D13CD"/>
    <w:rsid w:val="007D260C"/>
    <w:rsid w:val="007D2A8B"/>
    <w:rsid w:val="007D2A9D"/>
    <w:rsid w:val="007D2AAD"/>
    <w:rsid w:val="007D3E29"/>
    <w:rsid w:val="007D49E0"/>
    <w:rsid w:val="007D4BB0"/>
    <w:rsid w:val="007D4BE6"/>
    <w:rsid w:val="007D5698"/>
    <w:rsid w:val="007D58EE"/>
    <w:rsid w:val="007D5C0B"/>
    <w:rsid w:val="007D5C97"/>
    <w:rsid w:val="007D6075"/>
    <w:rsid w:val="007D6123"/>
    <w:rsid w:val="007D6503"/>
    <w:rsid w:val="007D68EF"/>
    <w:rsid w:val="007D6FCF"/>
    <w:rsid w:val="007D7576"/>
    <w:rsid w:val="007D77B6"/>
    <w:rsid w:val="007E026C"/>
    <w:rsid w:val="007E0A6A"/>
    <w:rsid w:val="007E0DC5"/>
    <w:rsid w:val="007E12A1"/>
    <w:rsid w:val="007E175D"/>
    <w:rsid w:val="007E1A4F"/>
    <w:rsid w:val="007E2676"/>
    <w:rsid w:val="007E2752"/>
    <w:rsid w:val="007E3BAB"/>
    <w:rsid w:val="007E46FF"/>
    <w:rsid w:val="007E4C41"/>
    <w:rsid w:val="007E4D9C"/>
    <w:rsid w:val="007E55F8"/>
    <w:rsid w:val="007E59F6"/>
    <w:rsid w:val="007E5B28"/>
    <w:rsid w:val="007E656D"/>
    <w:rsid w:val="007E6B63"/>
    <w:rsid w:val="007F025C"/>
    <w:rsid w:val="007F1DF5"/>
    <w:rsid w:val="007F1E4F"/>
    <w:rsid w:val="007F1F66"/>
    <w:rsid w:val="007F2131"/>
    <w:rsid w:val="007F230A"/>
    <w:rsid w:val="007F2766"/>
    <w:rsid w:val="007F2A34"/>
    <w:rsid w:val="007F2BB1"/>
    <w:rsid w:val="007F2FDF"/>
    <w:rsid w:val="007F3265"/>
    <w:rsid w:val="007F51D1"/>
    <w:rsid w:val="007F5469"/>
    <w:rsid w:val="007F592F"/>
    <w:rsid w:val="007F5B51"/>
    <w:rsid w:val="007F65DF"/>
    <w:rsid w:val="007F6AEE"/>
    <w:rsid w:val="007F6F83"/>
    <w:rsid w:val="007F6FF3"/>
    <w:rsid w:val="007F7DE9"/>
    <w:rsid w:val="0080049D"/>
    <w:rsid w:val="00800CB5"/>
    <w:rsid w:val="0080156D"/>
    <w:rsid w:val="00801969"/>
    <w:rsid w:val="00801CE9"/>
    <w:rsid w:val="008030F4"/>
    <w:rsid w:val="00803510"/>
    <w:rsid w:val="00803792"/>
    <w:rsid w:val="00803B3D"/>
    <w:rsid w:val="0080424D"/>
    <w:rsid w:val="00804B42"/>
    <w:rsid w:val="00806479"/>
    <w:rsid w:val="00806989"/>
    <w:rsid w:val="008072C4"/>
    <w:rsid w:val="008075F4"/>
    <w:rsid w:val="00807B97"/>
    <w:rsid w:val="008105A5"/>
    <w:rsid w:val="00810787"/>
    <w:rsid w:val="00810E22"/>
    <w:rsid w:val="00810E51"/>
    <w:rsid w:val="0081146C"/>
    <w:rsid w:val="00811772"/>
    <w:rsid w:val="00813799"/>
    <w:rsid w:val="00813CB9"/>
    <w:rsid w:val="00813F6B"/>
    <w:rsid w:val="0081407E"/>
    <w:rsid w:val="008147F6"/>
    <w:rsid w:val="00814A70"/>
    <w:rsid w:val="00814D61"/>
    <w:rsid w:val="00816844"/>
    <w:rsid w:val="00816ADB"/>
    <w:rsid w:val="00816BE5"/>
    <w:rsid w:val="00816F11"/>
    <w:rsid w:val="0081726A"/>
    <w:rsid w:val="0081761E"/>
    <w:rsid w:val="00817661"/>
    <w:rsid w:val="00817919"/>
    <w:rsid w:val="0082090C"/>
    <w:rsid w:val="0082130B"/>
    <w:rsid w:val="00821E85"/>
    <w:rsid w:val="00822707"/>
    <w:rsid w:val="00822B3E"/>
    <w:rsid w:val="008235C4"/>
    <w:rsid w:val="0082383C"/>
    <w:rsid w:val="00823D0B"/>
    <w:rsid w:val="00823FF0"/>
    <w:rsid w:val="00826047"/>
    <w:rsid w:val="00826C02"/>
    <w:rsid w:val="00826D7F"/>
    <w:rsid w:val="00827364"/>
    <w:rsid w:val="008274E5"/>
    <w:rsid w:val="008275B0"/>
    <w:rsid w:val="0082797D"/>
    <w:rsid w:val="00827B49"/>
    <w:rsid w:val="00830A77"/>
    <w:rsid w:val="00831191"/>
    <w:rsid w:val="0083141D"/>
    <w:rsid w:val="008319D6"/>
    <w:rsid w:val="00832205"/>
    <w:rsid w:val="0083342E"/>
    <w:rsid w:val="0083399E"/>
    <w:rsid w:val="008348BF"/>
    <w:rsid w:val="00834CA5"/>
    <w:rsid w:val="0083567F"/>
    <w:rsid w:val="00835EDA"/>
    <w:rsid w:val="008362C0"/>
    <w:rsid w:val="00836A41"/>
    <w:rsid w:val="00837673"/>
    <w:rsid w:val="0083790A"/>
    <w:rsid w:val="00837E9A"/>
    <w:rsid w:val="008404EF"/>
    <w:rsid w:val="0084295A"/>
    <w:rsid w:val="00842CC0"/>
    <w:rsid w:val="008439D2"/>
    <w:rsid w:val="00843F26"/>
    <w:rsid w:val="008450BE"/>
    <w:rsid w:val="00845745"/>
    <w:rsid w:val="008467CE"/>
    <w:rsid w:val="00846F27"/>
    <w:rsid w:val="00847673"/>
    <w:rsid w:val="00847C00"/>
    <w:rsid w:val="0085109B"/>
    <w:rsid w:val="0085211C"/>
    <w:rsid w:val="008522B7"/>
    <w:rsid w:val="008523FB"/>
    <w:rsid w:val="008526E4"/>
    <w:rsid w:val="00853204"/>
    <w:rsid w:val="008532AF"/>
    <w:rsid w:val="00853D0E"/>
    <w:rsid w:val="008541D3"/>
    <w:rsid w:val="00855769"/>
    <w:rsid w:val="00855C00"/>
    <w:rsid w:val="008562D1"/>
    <w:rsid w:val="00856718"/>
    <w:rsid w:val="00856BB7"/>
    <w:rsid w:val="00860C56"/>
    <w:rsid w:val="00860F1D"/>
    <w:rsid w:val="0086144E"/>
    <w:rsid w:val="008619F5"/>
    <w:rsid w:val="00861AF6"/>
    <w:rsid w:val="0086338A"/>
    <w:rsid w:val="008638BB"/>
    <w:rsid w:val="00863B7F"/>
    <w:rsid w:val="00863B9C"/>
    <w:rsid w:val="00864412"/>
    <w:rsid w:val="00864CED"/>
    <w:rsid w:val="00865D5E"/>
    <w:rsid w:val="00866322"/>
    <w:rsid w:val="00866F29"/>
    <w:rsid w:val="008676B2"/>
    <w:rsid w:val="008677AE"/>
    <w:rsid w:val="00867DE2"/>
    <w:rsid w:val="008705FA"/>
    <w:rsid w:val="0087081E"/>
    <w:rsid w:val="00870D54"/>
    <w:rsid w:val="00871040"/>
    <w:rsid w:val="00871255"/>
    <w:rsid w:val="00871C31"/>
    <w:rsid w:val="008724D8"/>
    <w:rsid w:val="00872781"/>
    <w:rsid w:val="00872901"/>
    <w:rsid w:val="00872BED"/>
    <w:rsid w:val="008735F1"/>
    <w:rsid w:val="00873DC7"/>
    <w:rsid w:val="00874D2D"/>
    <w:rsid w:val="00875110"/>
    <w:rsid w:val="00875E04"/>
    <w:rsid w:val="0087611D"/>
    <w:rsid w:val="008763D3"/>
    <w:rsid w:val="00876441"/>
    <w:rsid w:val="0087682B"/>
    <w:rsid w:val="0087700E"/>
    <w:rsid w:val="008777EF"/>
    <w:rsid w:val="00880226"/>
    <w:rsid w:val="00880474"/>
    <w:rsid w:val="008805E4"/>
    <w:rsid w:val="00880A30"/>
    <w:rsid w:val="00880BF8"/>
    <w:rsid w:val="00881282"/>
    <w:rsid w:val="00881525"/>
    <w:rsid w:val="0088230E"/>
    <w:rsid w:val="00882455"/>
    <w:rsid w:val="00882A32"/>
    <w:rsid w:val="008837A7"/>
    <w:rsid w:val="008837B7"/>
    <w:rsid w:val="00883835"/>
    <w:rsid w:val="0088396D"/>
    <w:rsid w:val="008840A2"/>
    <w:rsid w:val="00884D46"/>
    <w:rsid w:val="0088500B"/>
    <w:rsid w:val="0088556B"/>
    <w:rsid w:val="00886709"/>
    <w:rsid w:val="00886F4D"/>
    <w:rsid w:val="00887457"/>
    <w:rsid w:val="00887780"/>
    <w:rsid w:val="00887D71"/>
    <w:rsid w:val="00890747"/>
    <w:rsid w:val="00890BF2"/>
    <w:rsid w:val="00891311"/>
    <w:rsid w:val="008919AC"/>
    <w:rsid w:val="008923FC"/>
    <w:rsid w:val="00892484"/>
    <w:rsid w:val="00892A39"/>
    <w:rsid w:val="00892BC5"/>
    <w:rsid w:val="008931B4"/>
    <w:rsid w:val="008949A9"/>
    <w:rsid w:val="00895164"/>
    <w:rsid w:val="008951CB"/>
    <w:rsid w:val="008954E0"/>
    <w:rsid w:val="00895D01"/>
    <w:rsid w:val="00896427"/>
    <w:rsid w:val="008965FB"/>
    <w:rsid w:val="00896656"/>
    <w:rsid w:val="00897667"/>
    <w:rsid w:val="00897807"/>
    <w:rsid w:val="00897944"/>
    <w:rsid w:val="008A0746"/>
    <w:rsid w:val="008A08ED"/>
    <w:rsid w:val="008A0952"/>
    <w:rsid w:val="008A1BE6"/>
    <w:rsid w:val="008A2FE6"/>
    <w:rsid w:val="008A3CBE"/>
    <w:rsid w:val="008A40E1"/>
    <w:rsid w:val="008A47FC"/>
    <w:rsid w:val="008A5534"/>
    <w:rsid w:val="008A62A9"/>
    <w:rsid w:val="008A64C1"/>
    <w:rsid w:val="008A7BD8"/>
    <w:rsid w:val="008A7EDC"/>
    <w:rsid w:val="008B04E7"/>
    <w:rsid w:val="008B10D6"/>
    <w:rsid w:val="008B2291"/>
    <w:rsid w:val="008B26FA"/>
    <w:rsid w:val="008B2B42"/>
    <w:rsid w:val="008B3EBD"/>
    <w:rsid w:val="008B413A"/>
    <w:rsid w:val="008B5205"/>
    <w:rsid w:val="008B5333"/>
    <w:rsid w:val="008B53F7"/>
    <w:rsid w:val="008B57DB"/>
    <w:rsid w:val="008B5834"/>
    <w:rsid w:val="008B587C"/>
    <w:rsid w:val="008B5E1A"/>
    <w:rsid w:val="008B5F80"/>
    <w:rsid w:val="008B60EF"/>
    <w:rsid w:val="008C05EE"/>
    <w:rsid w:val="008C131E"/>
    <w:rsid w:val="008C2418"/>
    <w:rsid w:val="008C2601"/>
    <w:rsid w:val="008C29AB"/>
    <w:rsid w:val="008C3E72"/>
    <w:rsid w:val="008C3EBD"/>
    <w:rsid w:val="008C3EC4"/>
    <w:rsid w:val="008C41F1"/>
    <w:rsid w:val="008C42FA"/>
    <w:rsid w:val="008C485A"/>
    <w:rsid w:val="008C4AAB"/>
    <w:rsid w:val="008C4B17"/>
    <w:rsid w:val="008C571B"/>
    <w:rsid w:val="008C5D0C"/>
    <w:rsid w:val="008C5EBA"/>
    <w:rsid w:val="008C6533"/>
    <w:rsid w:val="008C756A"/>
    <w:rsid w:val="008C7707"/>
    <w:rsid w:val="008D05C8"/>
    <w:rsid w:val="008D0F11"/>
    <w:rsid w:val="008D1676"/>
    <w:rsid w:val="008D1810"/>
    <w:rsid w:val="008D1851"/>
    <w:rsid w:val="008D1CFF"/>
    <w:rsid w:val="008D214E"/>
    <w:rsid w:val="008D270F"/>
    <w:rsid w:val="008D2E10"/>
    <w:rsid w:val="008D31F4"/>
    <w:rsid w:val="008D331F"/>
    <w:rsid w:val="008D3CAB"/>
    <w:rsid w:val="008D417B"/>
    <w:rsid w:val="008D45A2"/>
    <w:rsid w:val="008D4D03"/>
    <w:rsid w:val="008D5697"/>
    <w:rsid w:val="008D5C52"/>
    <w:rsid w:val="008D6A41"/>
    <w:rsid w:val="008D6A81"/>
    <w:rsid w:val="008D6B06"/>
    <w:rsid w:val="008D6F88"/>
    <w:rsid w:val="008D7AAF"/>
    <w:rsid w:val="008D7F58"/>
    <w:rsid w:val="008E00E1"/>
    <w:rsid w:val="008E195B"/>
    <w:rsid w:val="008E1F5E"/>
    <w:rsid w:val="008E2180"/>
    <w:rsid w:val="008E249C"/>
    <w:rsid w:val="008E38C8"/>
    <w:rsid w:val="008E3C27"/>
    <w:rsid w:val="008E3FF8"/>
    <w:rsid w:val="008E4312"/>
    <w:rsid w:val="008E4D01"/>
    <w:rsid w:val="008E4D94"/>
    <w:rsid w:val="008E6292"/>
    <w:rsid w:val="008E6887"/>
    <w:rsid w:val="008E69AD"/>
    <w:rsid w:val="008E6A15"/>
    <w:rsid w:val="008E71B7"/>
    <w:rsid w:val="008F10F5"/>
    <w:rsid w:val="008F1872"/>
    <w:rsid w:val="008F1BAA"/>
    <w:rsid w:val="008F23A6"/>
    <w:rsid w:val="008F23CD"/>
    <w:rsid w:val="008F3165"/>
    <w:rsid w:val="008F4033"/>
    <w:rsid w:val="008F4059"/>
    <w:rsid w:val="008F5099"/>
    <w:rsid w:val="008F50D8"/>
    <w:rsid w:val="008F537B"/>
    <w:rsid w:val="008F629A"/>
    <w:rsid w:val="008F6560"/>
    <w:rsid w:val="008F662A"/>
    <w:rsid w:val="008F67E8"/>
    <w:rsid w:val="008F698B"/>
    <w:rsid w:val="008F7331"/>
    <w:rsid w:val="008F756A"/>
    <w:rsid w:val="008F76DE"/>
    <w:rsid w:val="008F7C7F"/>
    <w:rsid w:val="008F7CB5"/>
    <w:rsid w:val="0090025C"/>
    <w:rsid w:val="00900BD4"/>
    <w:rsid w:val="00900C6F"/>
    <w:rsid w:val="0090136A"/>
    <w:rsid w:val="009014E0"/>
    <w:rsid w:val="00901DC5"/>
    <w:rsid w:val="009028C6"/>
    <w:rsid w:val="009030F2"/>
    <w:rsid w:val="009037F7"/>
    <w:rsid w:val="00903C79"/>
    <w:rsid w:val="009056E6"/>
    <w:rsid w:val="009056F8"/>
    <w:rsid w:val="00905757"/>
    <w:rsid w:val="0090623B"/>
    <w:rsid w:val="00906C82"/>
    <w:rsid w:val="009070C2"/>
    <w:rsid w:val="00907144"/>
    <w:rsid w:val="00907442"/>
    <w:rsid w:val="00907820"/>
    <w:rsid w:val="00910275"/>
    <w:rsid w:val="00910334"/>
    <w:rsid w:val="00911867"/>
    <w:rsid w:val="00911AFF"/>
    <w:rsid w:val="00911D22"/>
    <w:rsid w:val="00911E58"/>
    <w:rsid w:val="0091218E"/>
    <w:rsid w:val="00912BBA"/>
    <w:rsid w:val="0091394C"/>
    <w:rsid w:val="009147B1"/>
    <w:rsid w:val="009156AA"/>
    <w:rsid w:val="00915771"/>
    <w:rsid w:val="00915A62"/>
    <w:rsid w:val="009161EA"/>
    <w:rsid w:val="00917E19"/>
    <w:rsid w:val="00917EB4"/>
    <w:rsid w:val="00917FEF"/>
    <w:rsid w:val="009207AE"/>
    <w:rsid w:val="00921259"/>
    <w:rsid w:val="0092175C"/>
    <w:rsid w:val="00921B8E"/>
    <w:rsid w:val="00921D6A"/>
    <w:rsid w:val="009223E5"/>
    <w:rsid w:val="00922E98"/>
    <w:rsid w:val="0092391D"/>
    <w:rsid w:val="0092402C"/>
    <w:rsid w:val="009246E5"/>
    <w:rsid w:val="009251B7"/>
    <w:rsid w:val="0092602F"/>
    <w:rsid w:val="00926506"/>
    <w:rsid w:val="00926877"/>
    <w:rsid w:val="00926BD7"/>
    <w:rsid w:val="009276D0"/>
    <w:rsid w:val="00927A63"/>
    <w:rsid w:val="00927FF1"/>
    <w:rsid w:val="00930DB3"/>
    <w:rsid w:val="00931645"/>
    <w:rsid w:val="009328B5"/>
    <w:rsid w:val="00932C5A"/>
    <w:rsid w:val="00932D11"/>
    <w:rsid w:val="009335D8"/>
    <w:rsid w:val="00933E3C"/>
    <w:rsid w:val="00933F10"/>
    <w:rsid w:val="00933F40"/>
    <w:rsid w:val="009346E5"/>
    <w:rsid w:val="00934AE4"/>
    <w:rsid w:val="00935298"/>
    <w:rsid w:val="0093552D"/>
    <w:rsid w:val="009358FD"/>
    <w:rsid w:val="00936122"/>
    <w:rsid w:val="0093672A"/>
    <w:rsid w:val="00936CC9"/>
    <w:rsid w:val="009373B6"/>
    <w:rsid w:val="0093759B"/>
    <w:rsid w:val="009402FF"/>
    <w:rsid w:val="0094037B"/>
    <w:rsid w:val="00942A8C"/>
    <w:rsid w:val="009438F9"/>
    <w:rsid w:val="00944837"/>
    <w:rsid w:val="00944F81"/>
    <w:rsid w:val="00945951"/>
    <w:rsid w:val="0094709E"/>
    <w:rsid w:val="00947FEE"/>
    <w:rsid w:val="0095080F"/>
    <w:rsid w:val="00951205"/>
    <w:rsid w:val="009514D7"/>
    <w:rsid w:val="0095163A"/>
    <w:rsid w:val="00951BE8"/>
    <w:rsid w:val="009525AB"/>
    <w:rsid w:val="0095363F"/>
    <w:rsid w:val="00953DC5"/>
    <w:rsid w:val="00953EDB"/>
    <w:rsid w:val="00953FFF"/>
    <w:rsid w:val="009548E0"/>
    <w:rsid w:val="00955586"/>
    <w:rsid w:val="00955760"/>
    <w:rsid w:val="00955C4D"/>
    <w:rsid w:val="00956756"/>
    <w:rsid w:val="009571F6"/>
    <w:rsid w:val="009607A5"/>
    <w:rsid w:val="00962402"/>
    <w:rsid w:val="0096259A"/>
    <w:rsid w:val="009627C7"/>
    <w:rsid w:val="009638B9"/>
    <w:rsid w:val="009642AA"/>
    <w:rsid w:val="0096449A"/>
    <w:rsid w:val="009646E0"/>
    <w:rsid w:val="009646E8"/>
    <w:rsid w:val="00964B1C"/>
    <w:rsid w:val="00965204"/>
    <w:rsid w:val="0096554E"/>
    <w:rsid w:val="00965679"/>
    <w:rsid w:val="00965F92"/>
    <w:rsid w:val="00966B74"/>
    <w:rsid w:val="00967D53"/>
    <w:rsid w:val="0097038F"/>
    <w:rsid w:val="00970D9B"/>
    <w:rsid w:val="00970FBC"/>
    <w:rsid w:val="00971FA5"/>
    <w:rsid w:val="00973549"/>
    <w:rsid w:val="00974FA0"/>
    <w:rsid w:val="0097557E"/>
    <w:rsid w:val="009761DB"/>
    <w:rsid w:val="009761E1"/>
    <w:rsid w:val="00976481"/>
    <w:rsid w:val="00976764"/>
    <w:rsid w:val="00977A3B"/>
    <w:rsid w:val="00977D1E"/>
    <w:rsid w:val="00980482"/>
    <w:rsid w:val="00980DFA"/>
    <w:rsid w:val="00981DD3"/>
    <w:rsid w:val="00981F64"/>
    <w:rsid w:val="00982411"/>
    <w:rsid w:val="0098277B"/>
    <w:rsid w:val="009837A2"/>
    <w:rsid w:val="00983A14"/>
    <w:rsid w:val="00984195"/>
    <w:rsid w:val="009848C4"/>
    <w:rsid w:val="00984950"/>
    <w:rsid w:val="0098517A"/>
    <w:rsid w:val="009858FE"/>
    <w:rsid w:val="00985A31"/>
    <w:rsid w:val="00985F1F"/>
    <w:rsid w:val="00986DCA"/>
    <w:rsid w:val="00987F04"/>
    <w:rsid w:val="00990C4A"/>
    <w:rsid w:val="00990DA5"/>
    <w:rsid w:val="009915A2"/>
    <w:rsid w:val="0099228D"/>
    <w:rsid w:val="00992468"/>
    <w:rsid w:val="00993BFA"/>
    <w:rsid w:val="00993FB0"/>
    <w:rsid w:val="00995603"/>
    <w:rsid w:val="009962D1"/>
    <w:rsid w:val="009969CC"/>
    <w:rsid w:val="00996E86"/>
    <w:rsid w:val="0099752F"/>
    <w:rsid w:val="00997986"/>
    <w:rsid w:val="00997B6C"/>
    <w:rsid w:val="00997CF3"/>
    <w:rsid w:val="009A0027"/>
    <w:rsid w:val="009A0395"/>
    <w:rsid w:val="009A0435"/>
    <w:rsid w:val="009A0D65"/>
    <w:rsid w:val="009A1242"/>
    <w:rsid w:val="009A13AC"/>
    <w:rsid w:val="009A1742"/>
    <w:rsid w:val="009A1A9D"/>
    <w:rsid w:val="009A1CDB"/>
    <w:rsid w:val="009A282D"/>
    <w:rsid w:val="009A399B"/>
    <w:rsid w:val="009A4D85"/>
    <w:rsid w:val="009A5285"/>
    <w:rsid w:val="009A53A1"/>
    <w:rsid w:val="009A64BF"/>
    <w:rsid w:val="009A6E1C"/>
    <w:rsid w:val="009A7295"/>
    <w:rsid w:val="009A7F4B"/>
    <w:rsid w:val="009B02DD"/>
    <w:rsid w:val="009B14F0"/>
    <w:rsid w:val="009B261E"/>
    <w:rsid w:val="009B2720"/>
    <w:rsid w:val="009B2AE8"/>
    <w:rsid w:val="009B3BF0"/>
    <w:rsid w:val="009B4051"/>
    <w:rsid w:val="009B431B"/>
    <w:rsid w:val="009B4CAF"/>
    <w:rsid w:val="009B5D07"/>
    <w:rsid w:val="009B6678"/>
    <w:rsid w:val="009B7329"/>
    <w:rsid w:val="009C1CD2"/>
    <w:rsid w:val="009C2798"/>
    <w:rsid w:val="009C35EA"/>
    <w:rsid w:val="009C3648"/>
    <w:rsid w:val="009C36D9"/>
    <w:rsid w:val="009C3C09"/>
    <w:rsid w:val="009C3EE5"/>
    <w:rsid w:val="009C41A5"/>
    <w:rsid w:val="009C48A5"/>
    <w:rsid w:val="009C4BAA"/>
    <w:rsid w:val="009C5A29"/>
    <w:rsid w:val="009C66FE"/>
    <w:rsid w:val="009C6760"/>
    <w:rsid w:val="009C6B99"/>
    <w:rsid w:val="009C7C8C"/>
    <w:rsid w:val="009D01F7"/>
    <w:rsid w:val="009D06C7"/>
    <w:rsid w:val="009D0B03"/>
    <w:rsid w:val="009D10CE"/>
    <w:rsid w:val="009D115F"/>
    <w:rsid w:val="009D24FF"/>
    <w:rsid w:val="009D276D"/>
    <w:rsid w:val="009D34DC"/>
    <w:rsid w:val="009D4CDA"/>
    <w:rsid w:val="009D5002"/>
    <w:rsid w:val="009D5290"/>
    <w:rsid w:val="009D5C92"/>
    <w:rsid w:val="009D67E8"/>
    <w:rsid w:val="009D78EE"/>
    <w:rsid w:val="009D7BF8"/>
    <w:rsid w:val="009D7C94"/>
    <w:rsid w:val="009D7CCD"/>
    <w:rsid w:val="009E023C"/>
    <w:rsid w:val="009E0831"/>
    <w:rsid w:val="009E19C8"/>
    <w:rsid w:val="009E1D36"/>
    <w:rsid w:val="009E1D9F"/>
    <w:rsid w:val="009E2068"/>
    <w:rsid w:val="009E25AD"/>
    <w:rsid w:val="009E28A1"/>
    <w:rsid w:val="009E3A08"/>
    <w:rsid w:val="009E4B84"/>
    <w:rsid w:val="009E5092"/>
    <w:rsid w:val="009E6CB1"/>
    <w:rsid w:val="009E6CCE"/>
    <w:rsid w:val="009E7378"/>
    <w:rsid w:val="009F01DE"/>
    <w:rsid w:val="009F06FC"/>
    <w:rsid w:val="009F09DB"/>
    <w:rsid w:val="009F0B0D"/>
    <w:rsid w:val="009F0E60"/>
    <w:rsid w:val="009F1199"/>
    <w:rsid w:val="009F11A9"/>
    <w:rsid w:val="009F1D00"/>
    <w:rsid w:val="009F2C5C"/>
    <w:rsid w:val="009F2F7E"/>
    <w:rsid w:val="009F48B8"/>
    <w:rsid w:val="009F4991"/>
    <w:rsid w:val="009F4EBA"/>
    <w:rsid w:val="009F50A6"/>
    <w:rsid w:val="009F5A4E"/>
    <w:rsid w:val="009F5AA3"/>
    <w:rsid w:val="009F5ED0"/>
    <w:rsid w:val="009F5EFF"/>
    <w:rsid w:val="009F60CD"/>
    <w:rsid w:val="009F6836"/>
    <w:rsid w:val="009F724A"/>
    <w:rsid w:val="009F7273"/>
    <w:rsid w:val="009F73DE"/>
    <w:rsid w:val="009F77F2"/>
    <w:rsid w:val="00A01334"/>
    <w:rsid w:val="00A01507"/>
    <w:rsid w:val="00A01E1F"/>
    <w:rsid w:val="00A023D3"/>
    <w:rsid w:val="00A02BBE"/>
    <w:rsid w:val="00A02EFF"/>
    <w:rsid w:val="00A03142"/>
    <w:rsid w:val="00A0398F"/>
    <w:rsid w:val="00A03ACA"/>
    <w:rsid w:val="00A05199"/>
    <w:rsid w:val="00A0640D"/>
    <w:rsid w:val="00A0661F"/>
    <w:rsid w:val="00A06A23"/>
    <w:rsid w:val="00A06BB6"/>
    <w:rsid w:val="00A06CB6"/>
    <w:rsid w:val="00A06DF8"/>
    <w:rsid w:val="00A06EDD"/>
    <w:rsid w:val="00A06EF4"/>
    <w:rsid w:val="00A074A5"/>
    <w:rsid w:val="00A07A88"/>
    <w:rsid w:val="00A1101B"/>
    <w:rsid w:val="00A11260"/>
    <w:rsid w:val="00A1131B"/>
    <w:rsid w:val="00A11AD9"/>
    <w:rsid w:val="00A11DF6"/>
    <w:rsid w:val="00A123A9"/>
    <w:rsid w:val="00A12CFA"/>
    <w:rsid w:val="00A12E38"/>
    <w:rsid w:val="00A1449D"/>
    <w:rsid w:val="00A14A14"/>
    <w:rsid w:val="00A14CA7"/>
    <w:rsid w:val="00A14DD7"/>
    <w:rsid w:val="00A150AC"/>
    <w:rsid w:val="00A15AEF"/>
    <w:rsid w:val="00A161EB"/>
    <w:rsid w:val="00A16374"/>
    <w:rsid w:val="00A1648A"/>
    <w:rsid w:val="00A168F7"/>
    <w:rsid w:val="00A207A5"/>
    <w:rsid w:val="00A20C17"/>
    <w:rsid w:val="00A21064"/>
    <w:rsid w:val="00A212BB"/>
    <w:rsid w:val="00A21B91"/>
    <w:rsid w:val="00A22641"/>
    <w:rsid w:val="00A228C7"/>
    <w:rsid w:val="00A23371"/>
    <w:rsid w:val="00A237F6"/>
    <w:rsid w:val="00A246F6"/>
    <w:rsid w:val="00A24A0F"/>
    <w:rsid w:val="00A250BB"/>
    <w:rsid w:val="00A250C5"/>
    <w:rsid w:val="00A26073"/>
    <w:rsid w:val="00A3007C"/>
    <w:rsid w:val="00A32579"/>
    <w:rsid w:val="00A3267A"/>
    <w:rsid w:val="00A32DCB"/>
    <w:rsid w:val="00A33099"/>
    <w:rsid w:val="00A3367B"/>
    <w:rsid w:val="00A336BF"/>
    <w:rsid w:val="00A33AC9"/>
    <w:rsid w:val="00A33C3B"/>
    <w:rsid w:val="00A34D33"/>
    <w:rsid w:val="00A3566F"/>
    <w:rsid w:val="00A35851"/>
    <w:rsid w:val="00A35ACC"/>
    <w:rsid w:val="00A35F59"/>
    <w:rsid w:val="00A362A8"/>
    <w:rsid w:val="00A362CF"/>
    <w:rsid w:val="00A36FD5"/>
    <w:rsid w:val="00A37D8F"/>
    <w:rsid w:val="00A4055C"/>
    <w:rsid w:val="00A4093C"/>
    <w:rsid w:val="00A409D3"/>
    <w:rsid w:val="00A40C12"/>
    <w:rsid w:val="00A40C42"/>
    <w:rsid w:val="00A413C1"/>
    <w:rsid w:val="00A41E7A"/>
    <w:rsid w:val="00A42197"/>
    <w:rsid w:val="00A42687"/>
    <w:rsid w:val="00A428E1"/>
    <w:rsid w:val="00A4350B"/>
    <w:rsid w:val="00A43F23"/>
    <w:rsid w:val="00A44B5D"/>
    <w:rsid w:val="00A45276"/>
    <w:rsid w:val="00A45487"/>
    <w:rsid w:val="00A46FA4"/>
    <w:rsid w:val="00A4708E"/>
    <w:rsid w:val="00A47AFB"/>
    <w:rsid w:val="00A47FD7"/>
    <w:rsid w:val="00A50B0B"/>
    <w:rsid w:val="00A50E87"/>
    <w:rsid w:val="00A50FAC"/>
    <w:rsid w:val="00A52AA1"/>
    <w:rsid w:val="00A52FD7"/>
    <w:rsid w:val="00A530EA"/>
    <w:rsid w:val="00A53B40"/>
    <w:rsid w:val="00A5439F"/>
    <w:rsid w:val="00A55C06"/>
    <w:rsid w:val="00A5622B"/>
    <w:rsid w:val="00A562CA"/>
    <w:rsid w:val="00A57226"/>
    <w:rsid w:val="00A578BF"/>
    <w:rsid w:val="00A6053D"/>
    <w:rsid w:val="00A609C4"/>
    <w:rsid w:val="00A60BD3"/>
    <w:rsid w:val="00A6217F"/>
    <w:rsid w:val="00A62B5B"/>
    <w:rsid w:val="00A62EEE"/>
    <w:rsid w:val="00A6478F"/>
    <w:rsid w:val="00A649AD"/>
    <w:rsid w:val="00A66EBF"/>
    <w:rsid w:val="00A67079"/>
    <w:rsid w:val="00A675E2"/>
    <w:rsid w:val="00A716DE"/>
    <w:rsid w:val="00A71A36"/>
    <w:rsid w:val="00A727CA"/>
    <w:rsid w:val="00A74660"/>
    <w:rsid w:val="00A7513B"/>
    <w:rsid w:val="00A75380"/>
    <w:rsid w:val="00A77176"/>
    <w:rsid w:val="00A77E42"/>
    <w:rsid w:val="00A80002"/>
    <w:rsid w:val="00A80302"/>
    <w:rsid w:val="00A803DA"/>
    <w:rsid w:val="00A808DC"/>
    <w:rsid w:val="00A823F2"/>
    <w:rsid w:val="00A82883"/>
    <w:rsid w:val="00A832AC"/>
    <w:rsid w:val="00A84067"/>
    <w:rsid w:val="00A84A66"/>
    <w:rsid w:val="00A860D2"/>
    <w:rsid w:val="00A861B3"/>
    <w:rsid w:val="00A876EC"/>
    <w:rsid w:val="00A87E48"/>
    <w:rsid w:val="00A904BE"/>
    <w:rsid w:val="00A907AA"/>
    <w:rsid w:val="00A90A4D"/>
    <w:rsid w:val="00A9120A"/>
    <w:rsid w:val="00A92181"/>
    <w:rsid w:val="00A92684"/>
    <w:rsid w:val="00A93067"/>
    <w:rsid w:val="00A93A54"/>
    <w:rsid w:val="00A947DC"/>
    <w:rsid w:val="00A9580B"/>
    <w:rsid w:val="00A95F9F"/>
    <w:rsid w:val="00A96565"/>
    <w:rsid w:val="00A968C9"/>
    <w:rsid w:val="00A969AE"/>
    <w:rsid w:val="00A97CC8"/>
    <w:rsid w:val="00AA029B"/>
    <w:rsid w:val="00AA075C"/>
    <w:rsid w:val="00AA0B4B"/>
    <w:rsid w:val="00AA0C48"/>
    <w:rsid w:val="00AA187B"/>
    <w:rsid w:val="00AA1C8D"/>
    <w:rsid w:val="00AA1FFE"/>
    <w:rsid w:val="00AA2A30"/>
    <w:rsid w:val="00AA3460"/>
    <w:rsid w:val="00AA4066"/>
    <w:rsid w:val="00AA40AD"/>
    <w:rsid w:val="00AA5061"/>
    <w:rsid w:val="00AA50F5"/>
    <w:rsid w:val="00AA55AA"/>
    <w:rsid w:val="00AA59A7"/>
    <w:rsid w:val="00AA59C0"/>
    <w:rsid w:val="00AA5B3C"/>
    <w:rsid w:val="00AA6A10"/>
    <w:rsid w:val="00AA6B8C"/>
    <w:rsid w:val="00AA6DE7"/>
    <w:rsid w:val="00AA739A"/>
    <w:rsid w:val="00AA74B2"/>
    <w:rsid w:val="00AA7AA7"/>
    <w:rsid w:val="00AB0668"/>
    <w:rsid w:val="00AB09CF"/>
    <w:rsid w:val="00AB0B87"/>
    <w:rsid w:val="00AB160F"/>
    <w:rsid w:val="00AB2F5B"/>
    <w:rsid w:val="00AB3381"/>
    <w:rsid w:val="00AB368E"/>
    <w:rsid w:val="00AB3C34"/>
    <w:rsid w:val="00AB4778"/>
    <w:rsid w:val="00AB527F"/>
    <w:rsid w:val="00AB5301"/>
    <w:rsid w:val="00AB5E2C"/>
    <w:rsid w:val="00AB6313"/>
    <w:rsid w:val="00AB691B"/>
    <w:rsid w:val="00AB6AD9"/>
    <w:rsid w:val="00AC02BE"/>
    <w:rsid w:val="00AC0424"/>
    <w:rsid w:val="00AC0509"/>
    <w:rsid w:val="00AC0862"/>
    <w:rsid w:val="00AC21B4"/>
    <w:rsid w:val="00AC3A89"/>
    <w:rsid w:val="00AC3D88"/>
    <w:rsid w:val="00AC4A73"/>
    <w:rsid w:val="00AC5A56"/>
    <w:rsid w:val="00AC5C15"/>
    <w:rsid w:val="00AC68A8"/>
    <w:rsid w:val="00AC6BCC"/>
    <w:rsid w:val="00AC7061"/>
    <w:rsid w:val="00AC7111"/>
    <w:rsid w:val="00AC77D0"/>
    <w:rsid w:val="00AD03C9"/>
    <w:rsid w:val="00AD06DB"/>
    <w:rsid w:val="00AD09D1"/>
    <w:rsid w:val="00AD2622"/>
    <w:rsid w:val="00AD2A0E"/>
    <w:rsid w:val="00AD330F"/>
    <w:rsid w:val="00AD3644"/>
    <w:rsid w:val="00AD5792"/>
    <w:rsid w:val="00AD6347"/>
    <w:rsid w:val="00AD6529"/>
    <w:rsid w:val="00AD6776"/>
    <w:rsid w:val="00AD6C96"/>
    <w:rsid w:val="00AD6CAC"/>
    <w:rsid w:val="00AD74AD"/>
    <w:rsid w:val="00AE0168"/>
    <w:rsid w:val="00AE0681"/>
    <w:rsid w:val="00AE0851"/>
    <w:rsid w:val="00AE09CA"/>
    <w:rsid w:val="00AE0D96"/>
    <w:rsid w:val="00AE0FB8"/>
    <w:rsid w:val="00AE1E50"/>
    <w:rsid w:val="00AE2969"/>
    <w:rsid w:val="00AE335B"/>
    <w:rsid w:val="00AE3DDD"/>
    <w:rsid w:val="00AE3E2F"/>
    <w:rsid w:val="00AE4254"/>
    <w:rsid w:val="00AE528F"/>
    <w:rsid w:val="00AE5EE6"/>
    <w:rsid w:val="00AE7290"/>
    <w:rsid w:val="00AE749F"/>
    <w:rsid w:val="00AE7709"/>
    <w:rsid w:val="00AF0715"/>
    <w:rsid w:val="00AF0A98"/>
    <w:rsid w:val="00AF0E08"/>
    <w:rsid w:val="00AF1531"/>
    <w:rsid w:val="00AF2D41"/>
    <w:rsid w:val="00AF2D6B"/>
    <w:rsid w:val="00AF2F8E"/>
    <w:rsid w:val="00AF34C8"/>
    <w:rsid w:val="00AF41A8"/>
    <w:rsid w:val="00AF4BFB"/>
    <w:rsid w:val="00AF5BF9"/>
    <w:rsid w:val="00AF5E61"/>
    <w:rsid w:val="00AF6ECC"/>
    <w:rsid w:val="00AF7442"/>
    <w:rsid w:val="00AF77BC"/>
    <w:rsid w:val="00B0089D"/>
    <w:rsid w:val="00B00E9B"/>
    <w:rsid w:val="00B01797"/>
    <w:rsid w:val="00B01E26"/>
    <w:rsid w:val="00B023A1"/>
    <w:rsid w:val="00B02F4B"/>
    <w:rsid w:val="00B0350B"/>
    <w:rsid w:val="00B03633"/>
    <w:rsid w:val="00B03D1F"/>
    <w:rsid w:val="00B041BD"/>
    <w:rsid w:val="00B04431"/>
    <w:rsid w:val="00B04A70"/>
    <w:rsid w:val="00B04D0E"/>
    <w:rsid w:val="00B04EAC"/>
    <w:rsid w:val="00B04F8C"/>
    <w:rsid w:val="00B0532E"/>
    <w:rsid w:val="00B05D44"/>
    <w:rsid w:val="00B06BB2"/>
    <w:rsid w:val="00B075E9"/>
    <w:rsid w:val="00B076A7"/>
    <w:rsid w:val="00B07914"/>
    <w:rsid w:val="00B10A53"/>
    <w:rsid w:val="00B11770"/>
    <w:rsid w:val="00B117F2"/>
    <w:rsid w:val="00B11D12"/>
    <w:rsid w:val="00B12190"/>
    <w:rsid w:val="00B13ED2"/>
    <w:rsid w:val="00B14929"/>
    <w:rsid w:val="00B1536E"/>
    <w:rsid w:val="00B15592"/>
    <w:rsid w:val="00B15827"/>
    <w:rsid w:val="00B15C89"/>
    <w:rsid w:val="00B15F10"/>
    <w:rsid w:val="00B15FC5"/>
    <w:rsid w:val="00B16994"/>
    <w:rsid w:val="00B17380"/>
    <w:rsid w:val="00B17D80"/>
    <w:rsid w:val="00B17EFE"/>
    <w:rsid w:val="00B200EF"/>
    <w:rsid w:val="00B20CAB"/>
    <w:rsid w:val="00B21B6A"/>
    <w:rsid w:val="00B21D0F"/>
    <w:rsid w:val="00B21FDC"/>
    <w:rsid w:val="00B2293D"/>
    <w:rsid w:val="00B22E65"/>
    <w:rsid w:val="00B22FDD"/>
    <w:rsid w:val="00B23986"/>
    <w:rsid w:val="00B23A8D"/>
    <w:rsid w:val="00B24D0A"/>
    <w:rsid w:val="00B24D15"/>
    <w:rsid w:val="00B2512C"/>
    <w:rsid w:val="00B25448"/>
    <w:rsid w:val="00B25D99"/>
    <w:rsid w:val="00B26DD3"/>
    <w:rsid w:val="00B27B23"/>
    <w:rsid w:val="00B27F96"/>
    <w:rsid w:val="00B3009F"/>
    <w:rsid w:val="00B3065F"/>
    <w:rsid w:val="00B309B8"/>
    <w:rsid w:val="00B3103E"/>
    <w:rsid w:val="00B3124A"/>
    <w:rsid w:val="00B31359"/>
    <w:rsid w:val="00B317F9"/>
    <w:rsid w:val="00B322EB"/>
    <w:rsid w:val="00B3266B"/>
    <w:rsid w:val="00B3268E"/>
    <w:rsid w:val="00B32FBD"/>
    <w:rsid w:val="00B33699"/>
    <w:rsid w:val="00B34515"/>
    <w:rsid w:val="00B34E96"/>
    <w:rsid w:val="00B35377"/>
    <w:rsid w:val="00B3596B"/>
    <w:rsid w:val="00B35A08"/>
    <w:rsid w:val="00B35C6D"/>
    <w:rsid w:val="00B36593"/>
    <w:rsid w:val="00B3686D"/>
    <w:rsid w:val="00B371CD"/>
    <w:rsid w:val="00B3730B"/>
    <w:rsid w:val="00B37489"/>
    <w:rsid w:val="00B37E76"/>
    <w:rsid w:val="00B40142"/>
    <w:rsid w:val="00B421DD"/>
    <w:rsid w:val="00B421F0"/>
    <w:rsid w:val="00B42313"/>
    <w:rsid w:val="00B43093"/>
    <w:rsid w:val="00B43BAA"/>
    <w:rsid w:val="00B4416D"/>
    <w:rsid w:val="00B447D6"/>
    <w:rsid w:val="00B4746D"/>
    <w:rsid w:val="00B47824"/>
    <w:rsid w:val="00B508CA"/>
    <w:rsid w:val="00B50E3F"/>
    <w:rsid w:val="00B5185F"/>
    <w:rsid w:val="00B51CD6"/>
    <w:rsid w:val="00B51E71"/>
    <w:rsid w:val="00B520C5"/>
    <w:rsid w:val="00B522CE"/>
    <w:rsid w:val="00B524D7"/>
    <w:rsid w:val="00B52768"/>
    <w:rsid w:val="00B5329F"/>
    <w:rsid w:val="00B53659"/>
    <w:rsid w:val="00B546AF"/>
    <w:rsid w:val="00B55801"/>
    <w:rsid w:val="00B562DA"/>
    <w:rsid w:val="00B5646E"/>
    <w:rsid w:val="00B57827"/>
    <w:rsid w:val="00B57F43"/>
    <w:rsid w:val="00B57FC0"/>
    <w:rsid w:val="00B613CB"/>
    <w:rsid w:val="00B615D2"/>
    <w:rsid w:val="00B61FF7"/>
    <w:rsid w:val="00B62CA6"/>
    <w:rsid w:val="00B6361A"/>
    <w:rsid w:val="00B6378B"/>
    <w:rsid w:val="00B63A27"/>
    <w:rsid w:val="00B64D12"/>
    <w:rsid w:val="00B651D6"/>
    <w:rsid w:val="00B65A8E"/>
    <w:rsid w:val="00B65B92"/>
    <w:rsid w:val="00B65D03"/>
    <w:rsid w:val="00B65E8F"/>
    <w:rsid w:val="00B6697C"/>
    <w:rsid w:val="00B67C68"/>
    <w:rsid w:val="00B67CED"/>
    <w:rsid w:val="00B70BD4"/>
    <w:rsid w:val="00B70DCD"/>
    <w:rsid w:val="00B71609"/>
    <w:rsid w:val="00B71753"/>
    <w:rsid w:val="00B71B5D"/>
    <w:rsid w:val="00B7211B"/>
    <w:rsid w:val="00B72289"/>
    <w:rsid w:val="00B726E5"/>
    <w:rsid w:val="00B727FC"/>
    <w:rsid w:val="00B72ED1"/>
    <w:rsid w:val="00B72F55"/>
    <w:rsid w:val="00B73931"/>
    <w:rsid w:val="00B73B96"/>
    <w:rsid w:val="00B74D49"/>
    <w:rsid w:val="00B753C2"/>
    <w:rsid w:val="00B757AC"/>
    <w:rsid w:val="00B76179"/>
    <w:rsid w:val="00B766D6"/>
    <w:rsid w:val="00B76EA1"/>
    <w:rsid w:val="00B80485"/>
    <w:rsid w:val="00B80E56"/>
    <w:rsid w:val="00B8176A"/>
    <w:rsid w:val="00B81CCD"/>
    <w:rsid w:val="00B81F3C"/>
    <w:rsid w:val="00B829B5"/>
    <w:rsid w:val="00B83352"/>
    <w:rsid w:val="00B85B31"/>
    <w:rsid w:val="00B85D20"/>
    <w:rsid w:val="00B85EF4"/>
    <w:rsid w:val="00B866DB"/>
    <w:rsid w:val="00B868CE"/>
    <w:rsid w:val="00B86AF2"/>
    <w:rsid w:val="00B875E7"/>
    <w:rsid w:val="00B87D93"/>
    <w:rsid w:val="00B87EE8"/>
    <w:rsid w:val="00B91464"/>
    <w:rsid w:val="00B91D32"/>
    <w:rsid w:val="00B929F0"/>
    <w:rsid w:val="00B92A80"/>
    <w:rsid w:val="00B93358"/>
    <w:rsid w:val="00B93508"/>
    <w:rsid w:val="00B93A45"/>
    <w:rsid w:val="00B9409A"/>
    <w:rsid w:val="00B96735"/>
    <w:rsid w:val="00B970FC"/>
    <w:rsid w:val="00B97BCB"/>
    <w:rsid w:val="00BA0201"/>
    <w:rsid w:val="00BA08FE"/>
    <w:rsid w:val="00BA0CA4"/>
    <w:rsid w:val="00BA104E"/>
    <w:rsid w:val="00BA13D1"/>
    <w:rsid w:val="00BA1722"/>
    <w:rsid w:val="00BA19F7"/>
    <w:rsid w:val="00BA1C69"/>
    <w:rsid w:val="00BA1D0D"/>
    <w:rsid w:val="00BA2320"/>
    <w:rsid w:val="00BA236E"/>
    <w:rsid w:val="00BA2584"/>
    <w:rsid w:val="00BA3CF8"/>
    <w:rsid w:val="00BA3F56"/>
    <w:rsid w:val="00BA4B8D"/>
    <w:rsid w:val="00BA5669"/>
    <w:rsid w:val="00BA672A"/>
    <w:rsid w:val="00BA67F9"/>
    <w:rsid w:val="00BA6990"/>
    <w:rsid w:val="00BA6BB5"/>
    <w:rsid w:val="00BA7026"/>
    <w:rsid w:val="00BA7137"/>
    <w:rsid w:val="00BA7297"/>
    <w:rsid w:val="00BA7F75"/>
    <w:rsid w:val="00BB08B6"/>
    <w:rsid w:val="00BB08EA"/>
    <w:rsid w:val="00BB0B6A"/>
    <w:rsid w:val="00BB0E45"/>
    <w:rsid w:val="00BB13AF"/>
    <w:rsid w:val="00BB1574"/>
    <w:rsid w:val="00BB42E4"/>
    <w:rsid w:val="00BB4539"/>
    <w:rsid w:val="00BB4C4A"/>
    <w:rsid w:val="00BB4D81"/>
    <w:rsid w:val="00BB5DE3"/>
    <w:rsid w:val="00BB6200"/>
    <w:rsid w:val="00BB683A"/>
    <w:rsid w:val="00BB69E1"/>
    <w:rsid w:val="00BB6F02"/>
    <w:rsid w:val="00BB704C"/>
    <w:rsid w:val="00BB73A5"/>
    <w:rsid w:val="00BC097D"/>
    <w:rsid w:val="00BC09D8"/>
    <w:rsid w:val="00BC1316"/>
    <w:rsid w:val="00BC1944"/>
    <w:rsid w:val="00BC246C"/>
    <w:rsid w:val="00BC250D"/>
    <w:rsid w:val="00BC4078"/>
    <w:rsid w:val="00BC43B5"/>
    <w:rsid w:val="00BC4BDC"/>
    <w:rsid w:val="00BC56A3"/>
    <w:rsid w:val="00BC5F06"/>
    <w:rsid w:val="00BC62D3"/>
    <w:rsid w:val="00BC6B1F"/>
    <w:rsid w:val="00BC6EE6"/>
    <w:rsid w:val="00BC7140"/>
    <w:rsid w:val="00BC7236"/>
    <w:rsid w:val="00BC7610"/>
    <w:rsid w:val="00BC778C"/>
    <w:rsid w:val="00BC77AE"/>
    <w:rsid w:val="00BD1609"/>
    <w:rsid w:val="00BD1CE1"/>
    <w:rsid w:val="00BD21AF"/>
    <w:rsid w:val="00BD2311"/>
    <w:rsid w:val="00BD262C"/>
    <w:rsid w:val="00BD2BE3"/>
    <w:rsid w:val="00BD2BF1"/>
    <w:rsid w:val="00BD2F04"/>
    <w:rsid w:val="00BD31B2"/>
    <w:rsid w:val="00BD393F"/>
    <w:rsid w:val="00BD3FFB"/>
    <w:rsid w:val="00BD53AD"/>
    <w:rsid w:val="00BD5BAB"/>
    <w:rsid w:val="00BD648E"/>
    <w:rsid w:val="00BD65CF"/>
    <w:rsid w:val="00BD692E"/>
    <w:rsid w:val="00BD71A1"/>
    <w:rsid w:val="00BE123C"/>
    <w:rsid w:val="00BE1BCC"/>
    <w:rsid w:val="00BE1E66"/>
    <w:rsid w:val="00BE2088"/>
    <w:rsid w:val="00BE222D"/>
    <w:rsid w:val="00BE28BB"/>
    <w:rsid w:val="00BE3433"/>
    <w:rsid w:val="00BE37E9"/>
    <w:rsid w:val="00BE3F5D"/>
    <w:rsid w:val="00BE4132"/>
    <w:rsid w:val="00BE4BAE"/>
    <w:rsid w:val="00BE5D7E"/>
    <w:rsid w:val="00BE648B"/>
    <w:rsid w:val="00BE6684"/>
    <w:rsid w:val="00BE71A9"/>
    <w:rsid w:val="00BF0561"/>
    <w:rsid w:val="00BF070A"/>
    <w:rsid w:val="00BF0E27"/>
    <w:rsid w:val="00BF204B"/>
    <w:rsid w:val="00BF2A27"/>
    <w:rsid w:val="00BF3295"/>
    <w:rsid w:val="00BF41E6"/>
    <w:rsid w:val="00BF52CE"/>
    <w:rsid w:val="00BF5DB4"/>
    <w:rsid w:val="00BF5F20"/>
    <w:rsid w:val="00BF680A"/>
    <w:rsid w:val="00BF6825"/>
    <w:rsid w:val="00BF6D3C"/>
    <w:rsid w:val="00BF7207"/>
    <w:rsid w:val="00BF7654"/>
    <w:rsid w:val="00BF77C0"/>
    <w:rsid w:val="00C007A8"/>
    <w:rsid w:val="00C00D7B"/>
    <w:rsid w:val="00C02202"/>
    <w:rsid w:val="00C026C2"/>
    <w:rsid w:val="00C02CE5"/>
    <w:rsid w:val="00C03171"/>
    <w:rsid w:val="00C036D3"/>
    <w:rsid w:val="00C042AB"/>
    <w:rsid w:val="00C04DEE"/>
    <w:rsid w:val="00C052C6"/>
    <w:rsid w:val="00C054D1"/>
    <w:rsid w:val="00C05ED7"/>
    <w:rsid w:val="00C0619F"/>
    <w:rsid w:val="00C07594"/>
    <w:rsid w:val="00C1012F"/>
    <w:rsid w:val="00C10B65"/>
    <w:rsid w:val="00C11232"/>
    <w:rsid w:val="00C11B30"/>
    <w:rsid w:val="00C11C53"/>
    <w:rsid w:val="00C12174"/>
    <w:rsid w:val="00C122E7"/>
    <w:rsid w:val="00C152E7"/>
    <w:rsid w:val="00C1550E"/>
    <w:rsid w:val="00C156F0"/>
    <w:rsid w:val="00C161E1"/>
    <w:rsid w:val="00C16912"/>
    <w:rsid w:val="00C172D3"/>
    <w:rsid w:val="00C17C37"/>
    <w:rsid w:val="00C20095"/>
    <w:rsid w:val="00C20BCF"/>
    <w:rsid w:val="00C20E47"/>
    <w:rsid w:val="00C22765"/>
    <w:rsid w:val="00C2282F"/>
    <w:rsid w:val="00C23440"/>
    <w:rsid w:val="00C23DA6"/>
    <w:rsid w:val="00C2421F"/>
    <w:rsid w:val="00C24510"/>
    <w:rsid w:val="00C24A16"/>
    <w:rsid w:val="00C24A69"/>
    <w:rsid w:val="00C24DDB"/>
    <w:rsid w:val="00C255B1"/>
    <w:rsid w:val="00C25ADA"/>
    <w:rsid w:val="00C25D88"/>
    <w:rsid w:val="00C263C6"/>
    <w:rsid w:val="00C3093D"/>
    <w:rsid w:val="00C313FE"/>
    <w:rsid w:val="00C319F9"/>
    <w:rsid w:val="00C31DCB"/>
    <w:rsid w:val="00C322C3"/>
    <w:rsid w:val="00C329D9"/>
    <w:rsid w:val="00C34159"/>
    <w:rsid w:val="00C35021"/>
    <w:rsid w:val="00C352D8"/>
    <w:rsid w:val="00C35601"/>
    <w:rsid w:val="00C3625F"/>
    <w:rsid w:val="00C36512"/>
    <w:rsid w:val="00C36CBE"/>
    <w:rsid w:val="00C36FA6"/>
    <w:rsid w:val="00C37146"/>
    <w:rsid w:val="00C37A4C"/>
    <w:rsid w:val="00C40EB3"/>
    <w:rsid w:val="00C41099"/>
    <w:rsid w:val="00C41B02"/>
    <w:rsid w:val="00C42A58"/>
    <w:rsid w:val="00C43062"/>
    <w:rsid w:val="00C4329F"/>
    <w:rsid w:val="00C44265"/>
    <w:rsid w:val="00C449E8"/>
    <w:rsid w:val="00C44A73"/>
    <w:rsid w:val="00C44CA8"/>
    <w:rsid w:val="00C455B0"/>
    <w:rsid w:val="00C4611A"/>
    <w:rsid w:val="00C46CC9"/>
    <w:rsid w:val="00C47FC5"/>
    <w:rsid w:val="00C50975"/>
    <w:rsid w:val="00C50A67"/>
    <w:rsid w:val="00C50BBB"/>
    <w:rsid w:val="00C5130D"/>
    <w:rsid w:val="00C5282A"/>
    <w:rsid w:val="00C532FD"/>
    <w:rsid w:val="00C53365"/>
    <w:rsid w:val="00C537BA"/>
    <w:rsid w:val="00C539A6"/>
    <w:rsid w:val="00C543F7"/>
    <w:rsid w:val="00C55A2E"/>
    <w:rsid w:val="00C566CE"/>
    <w:rsid w:val="00C57859"/>
    <w:rsid w:val="00C578BA"/>
    <w:rsid w:val="00C57C7D"/>
    <w:rsid w:val="00C612B5"/>
    <w:rsid w:val="00C61410"/>
    <w:rsid w:val="00C615D9"/>
    <w:rsid w:val="00C61648"/>
    <w:rsid w:val="00C61DA3"/>
    <w:rsid w:val="00C62D63"/>
    <w:rsid w:val="00C651BD"/>
    <w:rsid w:val="00C657D8"/>
    <w:rsid w:val="00C65AAA"/>
    <w:rsid w:val="00C66657"/>
    <w:rsid w:val="00C666B7"/>
    <w:rsid w:val="00C67BA9"/>
    <w:rsid w:val="00C67F0B"/>
    <w:rsid w:val="00C70589"/>
    <w:rsid w:val="00C71F28"/>
    <w:rsid w:val="00C7203D"/>
    <w:rsid w:val="00C721BB"/>
    <w:rsid w:val="00C73687"/>
    <w:rsid w:val="00C7398F"/>
    <w:rsid w:val="00C75F3F"/>
    <w:rsid w:val="00C76602"/>
    <w:rsid w:val="00C7724A"/>
    <w:rsid w:val="00C77AE2"/>
    <w:rsid w:val="00C804F1"/>
    <w:rsid w:val="00C818E7"/>
    <w:rsid w:val="00C81949"/>
    <w:rsid w:val="00C81F2B"/>
    <w:rsid w:val="00C8224D"/>
    <w:rsid w:val="00C82CA2"/>
    <w:rsid w:val="00C83EB3"/>
    <w:rsid w:val="00C847A2"/>
    <w:rsid w:val="00C851BD"/>
    <w:rsid w:val="00C85565"/>
    <w:rsid w:val="00C861D5"/>
    <w:rsid w:val="00C86644"/>
    <w:rsid w:val="00C878FB"/>
    <w:rsid w:val="00C87E35"/>
    <w:rsid w:val="00C87FD3"/>
    <w:rsid w:val="00C87FF9"/>
    <w:rsid w:val="00C901BD"/>
    <w:rsid w:val="00C90CA3"/>
    <w:rsid w:val="00C90CD5"/>
    <w:rsid w:val="00C90DEE"/>
    <w:rsid w:val="00C90DF8"/>
    <w:rsid w:val="00C910F2"/>
    <w:rsid w:val="00C91197"/>
    <w:rsid w:val="00C918FE"/>
    <w:rsid w:val="00C91A07"/>
    <w:rsid w:val="00C91BFB"/>
    <w:rsid w:val="00C9236A"/>
    <w:rsid w:val="00C9287A"/>
    <w:rsid w:val="00C92B5F"/>
    <w:rsid w:val="00C92C21"/>
    <w:rsid w:val="00C94278"/>
    <w:rsid w:val="00C94667"/>
    <w:rsid w:val="00C95CCE"/>
    <w:rsid w:val="00C967D7"/>
    <w:rsid w:val="00C96C18"/>
    <w:rsid w:val="00C97207"/>
    <w:rsid w:val="00C97954"/>
    <w:rsid w:val="00C97AEA"/>
    <w:rsid w:val="00CA06A6"/>
    <w:rsid w:val="00CA1001"/>
    <w:rsid w:val="00CA3F85"/>
    <w:rsid w:val="00CA50EF"/>
    <w:rsid w:val="00CA5307"/>
    <w:rsid w:val="00CA556F"/>
    <w:rsid w:val="00CA5A7F"/>
    <w:rsid w:val="00CA7144"/>
    <w:rsid w:val="00CA7633"/>
    <w:rsid w:val="00CA7926"/>
    <w:rsid w:val="00CA7EE2"/>
    <w:rsid w:val="00CB0069"/>
    <w:rsid w:val="00CB0879"/>
    <w:rsid w:val="00CB1570"/>
    <w:rsid w:val="00CB1AB9"/>
    <w:rsid w:val="00CB1F82"/>
    <w:rsid w:val="00CB21A7"/>
    <w:rsid w:val="00CB3197"/>
    <w:rsid w:val="00CB3403"/>
    <w:rsid w:val="00CB40A0"/>
    <w:rsid w:val="00CB424B"/>
    <w:rsid w:val="00CB46FF"/>
    <w:rsid w:val="00CB48BA"/>
    <w:rsid w:val="00CB55BA"/>
    <w:rsid w:val="00CB67B7"/>
    <w:rsid w:val="00CB7159"/>
    <w:rsid w:val="00CB72BC"/>
    <w:rsid w:val="00CC00DC"/>
    <w:rsid w:val="00CC032C"/>
    <w:rsid w:val="00CC075C"/>
    <w:rsid w:val="00CC07A8"/>
    <w:rsid w:val="00CC08CA"/>
    <w:rsid w:val="00CC10FF"/>
    <w:rsid w:val="00CC1316"/>
    <w:rsid w:val="00CC267F"/>
    <w:rsid w:val="00CC28DB"/>
    <w:rsid w:val="00CC2AB1"/>
    <w:rsid w:val="00CC3547"/>
    <w:rsid w:val="00CC432A"/>
    <w:rsid w:val="00CC4489"/>
    <w:rsid w:val="00CC45C9"/>
    <w:rsid w:val="00CC4FDE"/>
    <w:rsid w:val="00CC51F3"/>
    <w:rsid w:val="00CC54F7"/>
    <w:rsid w:val="00CC5525"/>
    <w:rsid w:val="00CC5C94"/>
    <w:rsid w:val="00CC6F2D"/>
    <w:rsid w:val="00CC718F"/>
    <w:rsid w:val="00CD0695"/>
    <w:rsid w:val="00CD1461"/>
    <w:rsid w:val="00CD1B25"/>
    <w:rsid w:val="00CD2E2B"/>
    <w:rsid w:val="00CD2E41"/>
    <w:rsid w:val="00CD38E5"/>
    <w:rsid w:val="00CD4973"/>
    <w:rsid w:val="00CD4EEA"/>
    <w:rsid w:val="00CD5D70"/>
    <w:rsid w:val="00CD743A"/>
    <w:rsid w:val="00CD795C"/>
    <w:rsid w:val="00CE002C"/>
    <w:rsid w:val="00CE05A9"/>
    <w:rsid w:val="00CE079F"/>
    <w:rsid w:val="00CE0999"/>
    <w:rsid w:val="00CE0C80"/>
    <w:rsid w:val="00CE0E4C"/>
    <w:rsid w:val="00CE134E"/>
    <w:rsid w:val="00CE1B82"/>
    <w:rsid w:val="00CE1EEC"/>
    <w:rsid w:val="00CE203E"/>
    <w:rsid w:val="00CE242B"/>
    <w:rsid w:val="00CE26C4"/>
    <w:rsid w:val="00CE2B0D"/>
    <w:rsid w:val="00CE2C1A"/>
    <w:rsid w:val="00CE2DE5"/>
    <w:rsid w:val="00CE3854"/>
    <w:rsid w:val="00CE4129"/>
    <w:rsid w:val="00CE4476"/>
    <w:rsid w:val="00CE4C00"/>
    <w:rsid w:val="00CE5CAA"/>
    <w:rsid w:val="00CE73CB"/>
    <w:rsid w:val="00CE73D6"/>
    <w:rsid w:val="00CE7653"/>
    <w:rsid w:val="00CE7879"/>
    <w:rsid w:val="00CE7A28"/>
    <w:rsid w:val="00CE7CAC"/>
    <w:rsid w:val="00CF059D"/>
    <w:rsid w:val="00CF0F92"/>
    <w:rsid w:val="00CF1065"/>
    <w:rsid w:val="00CF1EFD"/>
    <w:rsid w:val="00CF20B8"/>
    <w:rsid w:val="00CF2776"/>
    <w:rsid w:val="00CF2D90"/>
    <w:rsid w:val="00CF2E29"/>
    <w:rsid w:val="00CF335A"/>
    <w:rsid w:val="00CF37E9"/>
    <w:rsid w:val="00CF41C1"/>
    <w:rsid w:val="00CF4C60"/>
    <w:rsid w:val="00CF53FF"/>
    <w:rsid w:val="00CF59EE"/>
    <w:rsid w:val="00CF5C78"/>
    <w:rsid w:val="00CF5DDC"/>
    <w:rsid w:val="00CF5F1B"/>
    <w:rsid w:val="00CF6CD7"/>
    <w:rsid w:val="00CF6CF7"/>
    <w:rsid w:val="00CF7339"/>
    <w:rsid w:val="00CF7EB8"/>
    <w:rsid w:val="00CF7FAF"/>
    <w:rsid w:val="00D00491"/>
    <w:rsid w:val="00D00B0E"/>
    <w:rsid w:val="00D00EE6"/>
    <w:rsid w:val="00D010C1"/>
    <w:rsid w:val="00D0127E"/>
    <w:rsid w:val="00D01D45"/>
    <w:rsid w:val="00D01E38"/>
    <w:rsid w:val="00D02C0D"/>
    <w:rsid w:val="00D03ABE"/>
    <w:rsid w:val="00D0484E"/>
    <w:rsid w:val="00D05001"/>
    <w:rsid w:val="00D056DB"/>
    <w:rsid w:val="00D05BCF"/>
    <w:rsid w:val="00D05FFB"/>
    <w:rsid w:val="00D060F5"/>
    <w:rsid w:val="00D06BCB"/>
    <w:rsid w:val="00D06C90"/>
    <w:rsid w:val="00D079FC"/>
    <w:rsid w:val="00D10122"/>
    <w:rsid w:val="00D102F6"/>
    <w:rsid w:val="00D112C3"/>
    <w:rsid w:val="00D1146E"/>
    <w:rsid w:val="00D1179A"/>
    <w:rsid w:val="00D12363"/>
    <w:rsid w:val="00D12675"/>
    <w:rsid w:val="00D12ADE"/>
    <w:rsid w:val="00D12B60"/>
    <w:rsid w:val="00D13116"/>
    <w:rsid w:val="00D135A9"/>
    <w:rsid w:val="00D14C13"/>
    <w:rsid w:val="00D14E98"/>
    <w:rsid w:val="00D15B2E"/>
    <w:rsid w:val="00D1760D"/>
    <w:rsid w:val="00D1760E"/>
    <w:rsid w:val="00D17CA9"/>
    <w:rsid w:val="00D20136"/>
    <w:rsid w:val="00D20169"/>
    <w:rsid w:val="00D208B1"/>
    <w:rsid w:val="00D20C9A"/>
    <w:rsid w:val="00D2132F"/>
    <w:rsid w:val="00D2150F"/>
    <w:rsid w:val="00D218F9"/>
    <w:rsid w:val="00D21C71"/>
    <w:rsid w:val="00D21D18"/>
    <w:rsid w:val="00D22584"/>
    <w:rsid w:val="00D227C8"/>
    <w:rsid w:val="00D22E56"/>
    <w:rsid w:val="00D2323D"/>
    <w:rsid w:val="00D239AA"/>
    <w:rsid w:val="00D23A62"/>
    <w:rsid w:val="00D23CB7"/>
    <w:rsid w:val="00D23EA5"/>
    <w:rsid w:val="00D246CC"/>
    <w:rsid w:val="00D24F55"/>
    <w:rsid w:val="00D25335"/>
    <w:rsid w:val="00D25B1D"/>
    <w:rsid w:val="00D25CA2"/>
    <w:rsid w:val="00D26BCC"/>
    <w:rsid w:val="00D27214"/>
    <w:rsid w:val="00D272BB"/>
    <w:rsid w:val="00D3010A"/>
    <w:rsid w:val="00D3057C"/>
    <w:rsid w:val="00D315B9"/>
    <w:rsid w:val="00D32089"/>
    <w:rsid w:val="00D321C6"/>
    <w:rsid w:val="00D33EDB"/>
    <w:rsid w:val="00D350D1"/>
    <w:rsid w:val="00D35300"/>
    <w:rsid w:val="00D35595"/>
    <w:rsid w:val="00D3653E"/>
    <w:rsid w:val="00D36DEA"/>
    <w:rsid w:val="00D3734C"/>
    <w:rsid w:val="00D37760"/>
    <w:rsid w:val="00D406EA"/>
    <w:rsid w:val="00D40874"/>
    <w:rsid w:val="00D40C18"/>
    <w:rsid w:val="00D41163"/>
    <w:rsid w:val="00D41F7A"/>
    <w:rsid w:val="00D4256B"/>
    <w:rsid w:val="00D42F76"/>
    <w:rsid w:val="00D445A6"/>
    <w:rsid w:val="00D45039"/>
    <w:rsid w:val="00D45423"/>
    <w:rsid w:val="00D4546F"/>
    <w:rsid w:val="00D467E9"/>
    <w:rsid w:val="00D470F5"/>
    <w:rsid w:val="00D472B7"/>
    <w:rsid w:val="00D47C62"/>
    <w:rsid w:val="00D501C0"/>
    <w:rsid w:val="00D5046A"/>
    <w:rsid w:val="00D51D04"/>
    <w:rsid w:val="00D52856"/>
    <w:rsid w:val="00D53FBA"/>
    <w:rsid w:val="00D54BA2"/>
    <w:rsid w:val="00D5664C"/>
    <w:rsid w:val="00D56EA8"/>
    <w:rsid w:val="00D5704B"/>
    <w:rsid w:val="00D573B5"/>
    <w:rsid w:val="00D57AF8"/>
    <w:rsid w:val="00D57BAF"/>
    <w:rsid w:val="00D60385"/>
    <w:rsid w:val="00D614EA"/>
    <w:rsid w:val="00D61556"/>
    <w:rsid w:val="00D61F96"/>
    <w:rsid w:val="00D62217"/>
    <w:rsid w:val="00D637C7"/>
    <w:rsid w:val="00D65087"/>
    <w:rsid w:val="00D6516A"/>
    <w:rsid w:val="00D65AFB"/>
    <w:rsid w:val="00D65CE5"/>
    <w:rsid w:val="00D65E0B"/>
    <w:rsid w:val="00D66FB6"/>
    <w:rsid w:val="00D7022D"/>
    <w:rsid w:val="00D7070B"/>
    <w:rsid w:val="00D70C4A"/>
    <w:rsid w:val="00D713A8"/>
    <w:rsid w:val="00D71462"/>
    <w:rsid w:val="00D7249F"/>
    <w:rsid w:val="00D729D8"/>
    <w:rsid w:val="00D735F7"/>
    <w:rsid w:val="00D73617"/>
    <w:rsid w:val="00D74105"/>
    <w:rsid w:val="00D746B3"/>
    <w:rsid w:val="00D74CB1"/>
    <w:rsid w:val="00D75D11"/>
    <w:rsid w:val="00D75E0A"/>
    <w:rsid w:val="00D76E92"/>
    <w:rsid w:val="00D77017"/>
    <w:rsid w:val="00D80963"/>
    <w:rsid w:val="00D809FA"/>
    <w:rsid w:val="00D80DD7"/>
    <w:rsid w:val="00D810EC"/>
    <w:rsid w:val="00D82596"/>
    <w:rsid w:val="00D82624"/>
    <w:rsid w:val="00D82990"/>
    <w:rsid w:val="00D82C73"/>
    <w:rsid w:val="00D832B4"/>
    <w:rsid w:val="00D83B48"/>
    <w:rsid w:val="00D84694"/>
    <w:rsid w:val="00D84999"/>
    <w:rsid w:val="00D84ACB"/>
    <w:rsid w:val="00D84FAC"/>
    <w:rsid w:val="00D859DF"/>
    <w:rsid w:val="00D860BF"/>
    <w:rsid w:val="00D8664F"/>
    <w:rsid w:val="00D86732"/>
    <w:rsid w:val="00D869D0"/>
    <w:rsid w:val="00D872C6"/>
    <w:rsid w:val="00D876A4"/>
    <w:rsid w:val="00D87E77"/>
    <w:rsid w:val="00D87FD5"/>
    <w:rsid w:val="00D9079B"/>
    <w:rsid w:val="00D91718"/>
    <w:rsid w:val="00D923DD"/>
    <w:rsid w:val="00D924C8"/>
    <w:rsid w:val="00D92598"/>
    <w:rsid w:val="00D92976"/>
    <w:rsid w:val="00D938B4"/>
    <w:rsid w:val="00D93C0E"/>
    <w:rsid w:val="00D93E0D"/>
    <w:rsid w:val="00D94179"/>
    <w:rsid w:val="00D95506"/>
    <w:rsid w:val="00D95556"/>
    <w:rsid w:val="00D9607B"/>
    <w:rsid w:val="00D960F2"/>
    <w:rsid w:val="00D96E5C"/>
    <w:rsid w:val="00DA049A"/>
    <w:rsid w:val="00DA0836"/>
    <w:rsid w:val="00DA0DC7"/>
    <w:rsid w:val="00DA2230"/>
    <w:rsid w:val="00DA2977"/>
    <w:rsid w:val="00DA2A1D"/>
    <w:rsid w:val="00DA35B8"/>
    <w:rsid w:val="00DA362D"/>
    <w:rsid w:val="00DA47EE"/>
    <w:rsid w:val="00DA48F9"/>
    <w:rsid w:val="00DA4E96"/>
    <w:rsid w:val="00DA53C2"/>
    <w:rsid w:val="00DA53FC"/>
    <w:rsid w:val="00DA5566"/>
    <w:rsid w:val="00DA639B"/>
    <w:rsid w:val="00DA7219"/>
    <w:rsid w:val="00DA7911"/>
    <w:rsid w:val="00DB05FF"/>
    <w:rsid w:val="00DB0671"/>
    <w:rsid w:val="00DB06E9"/>
    <w:rsid w:val="00DB0CA0"/>
    <w:rsid w:val="00DB1199"/>
    <w:rsid w:val="00DB1394"/>
    <w:rsid w:val="00DB1D84"/>
    <w:rsid w:val="00DB2E33"/>
    <w:rsid w:val="00DB3881"/>
    <w:rsid w:val="00DB39F9"/>
    <w:rsid w:val="00DB42B0"/>
    <w:rsid w:val="00DB4933"/>
    <w:rsid w:val="00DB5D5C"/>
    <w:rsid w:val="00DB5E72"/>
    <w:rsid w:val="00DB6EEA"/>
    <w:rsid w:val="00DB7839"/>
    <w:rsid w:val="00DB7DB3"/>
    <w:rsid w:val="00DC01C6"/>
    <w:rsid w:val="00DC119A"/>
    <w:rsid w:val="00DC19B5"/>
    <w:rsid w:val="00DC19ED"/>
    <w:rsid w:val="00DC232C"/>
    <w:rsid w:val="00DC2778"/>
    <w:rsid w:val="00DC29CD"/>
    <w:rsid w:val="00DC29F4"/>
    <w:rsid w:val="00DC2B27"/>
    <w:rsid w:val="00DC2C79"/>
    <w:rsid w:val="00DC2D11"/>
    <w:rsid w:val="00DC36AC"/>
    <w:rsid w:val="00DC36E9"/>
    <w:rsid w:val="00DC37CC"/>
    <w:rsid w:val="00DC39A4"/>
    <w:rsid w:val="00DC3DE1"/>
    <w:rsid w:val="00DC400C"/>
    <w:rsid w:val="00DC4233"/>
    <w:rsid w:val="00DC4E08"/>
    <w:rsid w:val="00DC519A"/>
    <w:rsid w:val="00DC56A2"/>
    <w:rsid w:val="00DC5C12"/>
    <w:rsid w:val="00DC5D8E"/>
    <w:rsid w:val="00DC67F7"/>
    <w:rsid w:val="00DC73B7"/>
    <w:rsid w:val="00DC75CA"/>
    <w:rsid w:val="00DC78FF"/>
    <w:rsid w:val="00DC7B37"/>
    <w:rsid w:val="00DD02F6"/>
    <w:rsid w:val="00DD057D"/>
    <w:rsid w:val="00DD091B"/>
    <w:rsid w:val="00DD0A85"/>
    <w:rsid w:val="00DD113C"/>
    <w:rsid w:val="00DD1659"/>
    <w:rsid w:val="00DD1792"/>
    <w:rsid w:val="00DD1A35"/>
    <w:rsid w:val="00DD1D16"/>
    <w:rsid w:val="00DD1E26"/>
    <w:rsid w:val="00DD282E"/>
    <w:rsid w:val="00DD2A3D"/>
    <w:rsid w:val="00DD2CBF"/>
    <w:rsid w:val="00DD2D4B"/>
    <w:rsid w:val="00DD4042"/>
    <w:rsid w:val="00DD40A4"/>
    <w:rsid w:val="00DD5552"/>
    <w:rsid w:val="00DD5842"/>
    <w:rsid w:val="00DD69C2"/>
    <w:rsid w:val="00DD6F55"/>
    <w:rsid w:val="00DE05B1"/>
    <w:rsid w:val="00DE0662"/>
    <w:rsid w:val="00DE0760"/>
    <w:rsid w:val="00DE105C"/>
    <w:rsid w:val="00DE13F8"/>
    <w:rsid w:val="00DE1DBF"/>
    <w:rsid w:val="00DE24B6"/>
    <w:rsid w:val="00DE260D"/>
    <w:rsid w:val="00DE2935"/>
    <w:rsid w:val="00DE3C96"/>
    <w:rsid w:val="00DE3D8C"/>
    <w:rsid w:val="00DE41CA"/>
    <w:rsid w:val="00DE5FB4"/>
    <w:rsid w:val="00DE6061"/>
    <w:rsid w:val="00DE63F0"/>
    <w:rsid w:val="00DE6482"/>
    <w:rsid w:val="00DE666F"/>
    <w:rsid w:val="00DE684F"/>
    <w:rsid w:val="00DE7687"/>
    <w:rsid w:val="00DF039A"/>
    <w:rsid w:val="00DF0537"/>
    <w:rsid w:val="00DF091F"/>
    <w:rsid w:val="00DF188C"/>
    <w:rsid w:val="00DF1CB8"/>
    <w:rsid w:val="00DF240A"/>
    <w:rsid w:val="00DF28DD"/>
    <w:rsid w:val="00DF3430"/>
    <w:rsid w:val="00DF393B"/>
    <w:rsid w:val="00DF5055"/>
    <w:rsid w:val="00DF5337"/>
    <w:rsid w:val="00DF590D"/>
    <w:rsid w:val="00DF6DFF"/>
    <w:rsid w:val="00DF6E8B"/>
    <w:rsid w:val="00E00213"/>
    <w:rsid w:val="00E0127A"/>
    <w:rsid w:val="00E01723"/>
    <w:rsid w:val="00E02814"/>
    <w:rsid w:val="00E02CD0"/>
    <w:rsid w:val="00E02E5B"/>
    <w:rsid w:val="00E03A89"/>
    <w:rsid w:val="00E04824"/>
    <w:rsid w:val="00E068DE"/>
    <w:rsid w:val="00E07916"/>
    <w:rsid w:val="00E100E4"/>
    <w:rsid w:val="00E108AE"/>
    <w:rsid w:val="00E10934"/>
    <w:rsid w:val="00E10CCE"/>
    <w:rsid w:val="00E11A97"/>
    <w:rsid w:val="00E11E2F"/>
    <w:rsid w:val="00E12671"/>
    <w:rsid w:val="00E15437"/>
    <w:rsid w:val="00E155FD"/>
    <w:rsid w:val="00E157F4"/>
    <w:rsid w:val="00E15913"/>
    <w:rsid w:val="00E16E98"/>
    <w:rsid w:val="00E1730D"/>
    <w:rsid w:val="00E2007D"/>
    <w:rsid w:val="00E2049E"/>
    <w:rsid w:val="00E20AC2"/>
    <w:rsid w:val="00E20CB9"/>
    <w:rsid w:val="00E21150"/>
    <w:rsid w:val="00E2133A"/>
    <w:rsid w:val="00E21D7C"/>
    <w:rsid w:val="00E220C6"/>
    <w:rsid w:val="00E22C63"/>
    <w:rsid w:val="00E22FB7"/>
    <w:rsid w:val="00E23788"/>
    <w:rsid w:val="00E2487D"/>
    <w:rsid w:val="00E25840"/>
    <w:rsid w:val="00E25920"/>
    <w:rsid w:val="00E26081"/>
    <w:rsid w:val="00E26877"/>
    <w:rsid w:val="00E26B3B"/>
    <w:rsid w:val="00E26D4D"/>
    <w:rsid w:val="00E26D60"/>
    <w:rsid w:val="00E26FBA"/>
    <w:rsid w:val="00E27448"/>
    <w:rsid w:val="00E3044E"/>
    <w:rsid w:val="00E318A3"/>
    <w:rsid w:val="00E31B64"/>
    <w:rsid w:val="00E32319"/>
    <w:rsid w:val="00E3338B"/>
    <w:rsid w:val="00E334AD"/>
    <w:rsid w:val="00E33879"/>
    <w:rsid w:val="00E33CC4"/>
    <w:rsid w:val="00E343A2"/>
    <w:rsid w:val="00E34E5A"/>
    <w:rsid w:val="00E3521B"/>
    <w:rsid w:val="00E36189"/>
    <w:rsid w:val="00E36C50"/>
    <w:rsid w:val="00E379ED"/>
    <w:rsid w:val="00E37A26"/>
    <w:rsid w:val="00E37A57"/>
    <w:rsid w:val="00E37BF1"/>
    <w:rsid w:val="00E4098E"/>
    <w:rsid w:val="00E41A1D"/>
    <w:rsid w:val="00E41B53"/>
    <w:rsid w:val="00E43473"/>
    <w:rsid w:val="00E43F54"/>
    <w:rsid w:val="00E44CB0"/>
    <w:rsid w:val="00E44FCF"/>
    <w:rsid w:val="00E4512F"/>
    <w:rsid w:val="00E4514C"/>
    <w:rsid w:val="00E462D0"/>
    <w:rsid w:val="00E4674D"/>
    <w:rsid w:val="00E46CC4"/>
    <w:rsid w:val="00E4707B"/>
    <w:rsid w:val="00E4744C"/>
    <w:rsid w:val="00E478A2"/>
    <w:rsid w:val="00E50D74"/>
    <w:rsid w:val="00E515D6"/>
    <w:rsid w:val="00E53448"/>
    <w:rsid w:val="00E538B0"/>
    <w:rsid w:val="00E53A2F"/>
    <w:rsid w:val="00E53F16"/>
    <w:rsid w:val="00E55221"/>
    <w:rsid w:val="00E552E0"/>
    <w:rsid w:val="00E56205"/>
    <w:rsid w:val="00E60142"/>
    <w:rsid w:val="00E60683"/>
    <w:rsid w:val="00E617E6"/>
    <w:rsid w:val="00E6181E"/>
    <w:rsid w:val="00E61B16"/>
    <w:rsid w:val="00E61E72"/>
    <w:rsid w:val="00E6203E"/>
    <w:rsid w:val="00E62135"/>
    <w:rsid w:val="00E622F1"/>
    <w:rsid w:val="00E626A9"/>
    <w:rsid w:val="00E62FA2"/>
    <w:rsid w:val="00E63341"/>
    <w:rsid w:val="00E633C4"/>
    <w:rsid w:val="00E63BC3"/>
    <w:rsid w:val="00E65944"/>
    <w:rsid w:val="00E66284"/>
    <w:rsid w:val="00E6722C"/>
    <w:rsid w:val="00E67882"/>
    <w:rsid w:val="00E67BDC"/>
    <w:rsid w:val="00E67FB4"/>
    <w:rsid w:val="00E718DB"/>
    <w:rsid w:val="00E71DDE"/>
    <w:rsid w:val="00E721F8"/>
    <w:rsid w:val="00E72798"/>
    <w:rsid w:val="00E72CB1"/>
    <w:rsid w:val="00E72DE2"/>
    <w:rsid w:val="00E7402F"/>
    <w:rsid w:val="00E74227"/>
    <w:rsid w:val="00E74312"/>
    <w:rsid w:val="00E75342"/>
    <w:rsid w:val="00E75BC7"/>
    <w:rsid w:val="00E77679"/>
    <w:rsid w:val="00E80576"/>
    <w:rsid w:val="00E80830"/>
    <w:rsid w:val="00E815ED"/>
    <w:rsid w:val="00E81AF5"/>
    <w:rsid w:val="00E81BCA"/>
    <w:rsid w:val="00E823DF"/>
    <w:rsid w:val="00E82A18"/>
    <w:rsid w:val="00E82E48"/>
    <w:rsid w:val="00E836CA"/>
    <w:rsid w:val="00E83B72"/>
    <w:rsid w:val="00E84B39"/>
    <w:rsid w:val="00E85457"/>
    <w:rsid w:val="00E85644"/>
    <w:rsid w:val="00E86102"/>
    <w:rsid w:val="00E86298"/>
    <w:rsid w:val="00E86442"/>
    <w:rsid w:val="00E90351"/>
    <w:rsid w:val="00E90516"/>
    <w:rsid w:val="00E910F2"/>
    <w:rsid w:val="00E91D6C"/>
    <w:rsid w:val="00E92600"/>
    <w:rsid w:val="00E941AD"/>
    <w:rsid w:val="00E9433E"/>
    <w:rsid w:val="00E95C28"/>
    <w:rsid w:val="00E9621C"/>
    <w:rsid w:val="00E963A0"/>
    <w:rsid w:val="00E968E4"/>
    <w:rsid w:val="00E97ACA"/>
    <w:rsid w:val="00E97DD0"/>
    <w:rsid w:val="00E97F86"/>
    <w:rsid w:val="00EA183C"/>
    <w:rsid w:val="00EA3486"/>
    <w:rsid w:val="00EA39C5"/>
    <w:rsid w:val="00EA44FB"/>
    <w:rsid w:val="00EA47D8"/>
    <w:rsid w:val="00EA5018"/>
    <w:rsid w:val="00EA549F"/>
    <w:rsid w:val="00EA592F"/>
    <w:rsid w:val="00EA5A90"/>
    <w:rsid w:val="00EA6320"/>
    <w:rsid w:val="00EA65C2"/>
    <w:rsid w:val="00EA74E7"/>
    <w:rsid w:val="00EA757D"/>
    <w:rsid w:val="00EA777D"/>
    <w:rsid w:val="00EB0150"/>
    <w:rsid w:val="00EB09DF"/>
    <w:rsid w:val="00EB10DF"/>
    <w:rsid w:val="00EB12A5"/>
    <w:rsid w:val="00EB2144"/>
    <w:rsid w:val="00EB27E2"/>
    <w:rsid w:val="00EB28E6"/>
    <w:rsid w:val="00EB3299"/>
    <w:rsid w:val="00EB3495"/>
    <w:rsid w:val="00EB358B"/>
    <w:rsid w:val="00EB3F28"/>
    <w:rsid w:val="00EB599D"/>
    <w:rsid w:val="00EB5CB1"/>
    <w:rsid w:val="00EB6CAA"/>
    <w:rsid w:val="00EB6D8E"/>
    <w:rsid w:val="00EB7207"/>
    <w:rsid w:val="00EC0EB4"/>
    <w:rsid w:val="00EC13BE"/>
    <w:rsid w:val="00EC13C8"/>
    <w:rsid w:val="00EC21D3"/>
    <w:rsid w:val="00EC231F"/>
    <w:rsid w:val="00EC2882"/>
    <w:rsid w:val="00EC288E"/>
    <w:rsid w:val="00EC2DE4"/>
    <w:rsid w:val="00EC4042"/>
    <w:rsid w:val="00EC4AF1"/>
    <w:rsid w:val="00EC4DE7"/>
    <w:rsid w:val="00EC6341"/>
    <w:rsid w:val="00EC64A6"/>
    <w:rsid w:val="00EC704A"/>
    <w:rsid w:val="00EC7413"/>
    <w:rsid w:val="00EC799B"/>
    <w:rsid w:val="00EC7AD7"/>
    <w:rsid w:val="00ED0610"/>
    <w:rsid w:val="00ED0952"/>
    <w:rsid w:val="00ED0D3D"/>
    <w:rsid w:val="00ED1ACC"/>
    <w:rsid w:val="00ED1AEC"/>
    <w:rsid w:val="00ED2DF0"/>
    <w:rsid w:val="00ED47D2"/>
    <w:rsid w:val="00ED4859"/>
    <w:rsid w:val="00ED4BA6"/>
    <w:rsid w:val="00ED4D55"/>
    <w:rsid w:val="00ED5903"/>
    <w:rsid w:val="00ED5986"/>
    <w:rsid w:val="00ED6B49"/>
    <w:rsid w:val="00ED747E"/>
    <w:rsid w:val="00ED7536"/>
    <w:rsid w:val="00ED7A72"/>
    <w:rsid w:val="00ED7C99"/>
    <w:rsid w:val="00EE01B3"/>
    <w:rsid w:val="00EE082A"/>
    <w:rsid w:val="00EE09DB"/>
    <w:rsid w:val="00EE0CB4"/>
    <w:rsid w:val="00EE1175"/>
    <w:rsid w:val="00EE3213"/>
    <w:rsid w:val="00EE342F"/>
    <w:rsid w:val="00EE3476"/>
    <w:rsid w:val="00EE3532"/>
    <w:rsid w:val="00EE3A2D"/>
    <w:rsid w:val="00EE40BB"/>
    <w:rsid w:val="00EE46BC"/>
    <w:rsid w:val="00EE4861"/>
    <w:rsid w:val="00EE4908"/>
    <w:rsid w:val="00EE4E86"/>
    <w:rsid w:val="00EE537F"/>
    <w:rsid w:val="00EE5793"/>
    <w:rsid w:val="00EE58F8"/>
    <w:rsid w:val="00EE5EB5"/>
    <w:rsid w:val="00EE6388"/>
    <w:rsid w:val="00EE71FD"/>
    <w:rsid w:val="00EE72C4"/>
    <w:rsid w:val="00EF09FF"/>
    <w:rsid w:val="00EF0A95"/>
    <w:rsid w:val="00EF2831"/>
    <w:rsid w:val="00EF28EE"/>
    <w:rsid w:val="00EF352F"/>
    <w:rsid w:val="00EF3A3B"/>
    <w:rsid w:val="00EF4128"/>
    <w:rsid w:val="00EF49D9"/>
    <w:rsid w:val="00EF4FCC"/>
    <w:rsid w:val="00EF5651"/>
    <w:rsid w:val="00EF5998"/>
    <w:rsid w:val="00EF5CCE"/>
    <w:rsid w:val="00EF66C6"/>
    <w:rsid w:val="00EF6C02"/>
    <w:rsid w:val="00EF7A15"/>
    <w:rsid w:val="00EF7D85"/>
    <w:rsid w:val="00F0093F"/>
    <w:rsid w:val="00F009F3"/>
    <w:rsid w:val="00F00CAE"/>
    <w:rsid w:val="00F01889"/>
    <w:rsid w:val="00F01FC6"/>
    <w:rsid w:val="00F02057"/>
    <w:rsid w:val="00F0217A"/>
    <w:rsid w:val="00F02C39"/>
    <w:rsid w:val="00F03408"/>
    <w:rsid w:val="00F03618"/>
    <w:rsid w:val="00F03620"/>
    <w:rsid w:val="00F03F10"/>
    <w:rsid w:val="00F04472"/>
    <w:rsid w:val="00F04AF1"/>
    <w:rsid w:val="00F04F6B"/>
    <w:rsid w:val="00F051F7"/>
    <w:rsid w:val="00F055EB"/>
    <w:rsid w:val="00F070B3"/>
    <w:rsid w:val="00F070EF"/>
    <w:rsid w:val="00F10109"/>
    <w:rsid w:val="00F1037A"/>
    <w:rsid w:val="00F10C92"/>
    <w:rsid w:val="00F111CE"/>
    <w:rsid w:val="00F12DC2"/>
    <w:rsid w:val="00F13220"/>
    <w:rsid w:val="00F1380F"/>
    <w:rsid w:val="00F14C67"/>
    <w:rsid w:val="00F14FFE"/>
    <w:rsid w:val="00F15777"/>
    <w:rsid w:val="00F16271"/>
    <w:rsid w:val="00F1671B"/>
    <w:rsid w:val="00F1671C"/>
    <w:rsid w:val="00F16F30"/>
    <w:rsid w:val="00F16FD4"/>
    <w:rsid w:val="00F17158"/>
    <w:rsid w:val="00F173BE"/>
    <w:rsid w:val="00F204BE"/>
    <w:rsid w:val="00F20607"/>
    <w:rsid w:val="00F20954"/>
    <w:rsid w:val="00F20CF9"/>
    <w:rsid w:val="00F21753"/>
    <w:rsid w:val="00F217FA"/>
    <w:rsid w:val="00F22453"/>
    <w:rsid w:val="00F22682"/>
    <w:rsid w:val="00F23F95"/>
    <w:rsid w:val="00F2421A"/>
    <w:rsid w:val="00F25541"/>
    <w:rsid w:val="00F25DCB"/>
    <w:rsid w:val="00F25E68"/>
    <w:rsid w:val="00F26265"/>
    <w:rsid w:val="00F26609"/>
    <w:rsid w:val="00F27CCC"/>
    <w:rsid w:val="00F31DCA"/>
    <w:rsid w:val="00F3403A"/>
    <w:rsid w:val="00F34151"/>
    <w:rsid w:val="00F34BBD"/>
    <w:rsid w:val="00F35218"/>
    <w:rsid w:val="00F35BBA"/>
    <w:rsid w:val="00F35C8D"/>
    <w:rsid w:val="00F35E4C"/>
    <w:rsid w:val="00F361A8"/>
    <w:rsid w:val="00F37B3C"/>
    <w:rsid w:val="00F40A70"/>
    <w:rsid w:val="00F413A9"/>
    <w:rsid w:val="00F414B7"/>
    <w:rsid w:val="00F4183F"/>
    <w:rsid w:val="00F41F39"/>
    <w:rsid w:val="00F41F9A"/>
    <w:rsid w:val="00F424A6"/>
    <w:rsid w:val="00F42B24"/>
    <w:rsid w:val="00F42D7E"/>
    <w:rsid w:val="00F42E4D"/>
    <w:rsid w:val="00F42E92"/>
    <w:rsid w:val="00F4325E"/>
    <w:rsid w:val="00F432B5"/>
    <w:rsid w:val="00F44131"/>
    <w:rsid w:val="00F443DF"/>
    <w:rsid w:val="00F44691"/>
    <w:rsid w:val="00F4472D"/>
    <w:rsid w:val="00F4473A"/>
    <w:rsid w:val="00F44F55"/>
    <w:rsid w:val="00F45EB8"/>
    <w:rsid w:val="00F475BA"/>
    <w:rsid w:val="00F507BF"/>
    <w:rsid w:val="00F50C34"/>
    <w:rsid w:val="00F51DA4"/>
    <w:rsid w:val="00F51F82"/>
    <w:rsid w:val="00F52D32"/>
    <w:rsid w:val="00F536A9"/>
    <w:rsid w:val="00F53D50"/>
    <w:rsid w:val="00F5402E"/>
    <w:rsid w:val="00F54E48"/>
    <w:rsid w:val="00F5509F"/>
    <w:rsid w:val="00F553C3"/>
    <w:rsid w:val="00F55536"/>
    <w:rsid w:val="00F5649B"/>
    <w:rsid w:val="00F56592"/>
    <w:rsid w:val="00F56F87"/>
    <w:rsid w:val="00F57A25"/>
    <w:rsid w:val="00F606F8"/>
    <w:rsid w:val="00F60A24"/>
    <w:rsid w:val="00F60D89"/>
    <w:rsid w:val="00F61094"/>
    <w:rsid w:val="00F61627"/>
    <w:rsid w:val="00F61B4F"/>
    <w:rsid w:val="00F62046"/>
    <w:rsid w:val="00F62690"/>
    <w:rsid w:val="00F6341A"/>
    <w:rsid w:val="00F645EC"/>
    <w:rsid w:val="00F646A0"/>
    <w:rsid w:val="00F64755"/>
    <w:rsid w:val="00F649B7"/>
    <w:rsid w:val="00F64B0D"/>
    <w:rsid w:val="00F64B11"/>
    <w:rsid w:val="00F64BAB"/>
    <w:rsid w:val="00F64D53"/>
    <w:rsid w:val="00F65475"/>
    <w:rsid w:val="00F6565B"/>
    <w:rsid w:val="00F65ED5"/>
    <w:rsid w:val="00F6648D"/>
    <w:rsid w:val="00F670A2"/>
    <w:rsid w:val="00F678DB"/>
    <w:rsid w:val="00F71055"/>
    <w:rsid w:val="00F71668"/>
    <w:rsid w:val="00F71759"/>
    <w:rsid w:val="00F72A1D"/>
    <w:rsid w:val="00F73BD6"/>
    <w:rsid w:val="00F743DE"/>
    <w:rsid w:val="00F75879"/>
    <w:rsid w:val="00F75A21"/>
    <w:rsid w:val="00F76F21"/>
    <w:rsid w:val="00F7728E"/>
    <w:rsid w:val="00F81724"/>
    <w:rsid w:val="00F81858"/>
    <w:rsid w:val="00F82155"/>
    <w:rsid w:val="00F835B5"/>
    <w:rsid w:val="00F836E4"/>
    <w:rsid w:val="00F83CCB"/>
    <w:rsid w:val="00F8433F"/>
    <w:rsid w:val="00F845AA"/>
    <w:rsid w:val="00F84744"/>
    <w:rsid w:val="00F84D39"/>
    <w:rsid w:val="00F850BB"/>
    <w:rsid w:val="00F85709"/>
    <w:rsid w:val="00F85C0A"/>
    <w:rsid w:val="00F861D2"/>
    <w:rsid w:val="00F86C17"/>
    <w:rsid w:val="00F8785C"/>
    <w:rsid w:val="00F87E32"/>
    <w:rsid w:val="00F87EEA"/>
    <w:rsid w:val="00F90286"/>
    <w:rsid w:val="00F90EB4"/>
    <w:rsid w:val="00F9151A"/>
    <w:rsid w:val="00F91A31"/>
    <w:rsid w:val="00F91F99"/>
    <w:rsid w:val="00F9217D"/>
    <w:rsid w:val="00F92713"/>
    <w:rsid w:val="00F9271F"/>
    <w:rsid w:val="00F92FAC"/>
    <w:rsid w:val="00F9315F"/>
    <w:rsid w:val="00F9385A"/>
    <w:rsid w:val="00F938A4"/>
    <w:rsid w:val="00F947B7"/>
    <w:rsid w:val="00F94CE6"/>
    <w:rsid w:val="00F95738"/>
    <w:rsid w:val="00F95D5F"/>
    <w:rsid w:val="00F96ADF"/>
    <w:rsid w:val="00F975D9"/>
    <w:rsid w:val="00F97909"/>
    <w:rsid w:val="00FA0109"/>
    <w:rsid w:val="00FA13AD"/>
    <w:rsid w:val="00FA1854"/>
    <w:rsid w:val="00FA2012"/>
    <w:rsid w:val="00FA21B6"/>
    <w:rsid w:val="00FA225F"/>
    <w:rsid w:val="00FA27B1"/>
    <w:rsid w:val="00FA2DEA"/>
    <w:rsid w:val="00FA34DB"/>
    <w:rsid w:val="00FA3625"/>
    <w:rsid w:val="00FA38AB"/>
    <w:rsid w:val="00FA3990"/>
    <w:rsid w:val="00FA4225"/>
    <w:rsid w:val="00FA4644"/>
    <w:rsid w:val="00FA4E2F"/>
    <w:rsid w:val="00FA762F"/>
    <w:rsid w:val="00FA7BD1"/>
    <w:rsid w:val="00FB0608"/>
    <w:rsid w:val="00FB0C0D"/>
    <w:rsid w:val="00FB0FDF"/>
    <w:rsid w:val="00FB115E"/>
    <w:rsid w:val="00FB1196"/>
    <w:rsid w:val="00FB11C2"/>
    <w:rsid w:val="00FB1795"/>
    <w:rsid w:val="00FB1DDD"/>
    <w:rsid w:val="00FB1E9B"/>
    <w:rsid w:val="00FB1FEF"/>
    <w:rsid w:val="00FB2B12"/>
    <w:rsid w:val="00FB3E21"/>
    <w:rsid w:val="00FB4116"/>
    <w:rsid w:val="00FB4CF6"/>
    <w:rsid w:val="00FB50DB"/>
    <w:rsid w:val="00FB5151"/>
    <w:rsid w:val="00FB59C4"/>
    <w:rsid w:val="00FB65D8"/>
    <w:rsid w:val="00FB6C13"/>
    <w:rsid w:val="00FB7702"/>
    <w:rsid w:val="00FB795E"/>
    <w:rsid w:val="00FC02B8"/>
    <w:rsid w:val="00FC0C18"/>
    <w:rsid w:val="00FC0C48"/>
    <w:rsid w:val="00FC16BA"/>
    <w:rsid w:val="00FC24D3"/>
    <w:rsid w:val="00FC3344"/>
    <w:rsid w:val="00FC38B3"/>
    <w:rsid w:val="00FC3B49"/>
    <w:rsid w:val="00FC4189"/>
    <w:rsid w:val="00FC43D4"/>
    <w:rsid w:val="00FC4F91"/>
    <w:rsid w:val="00FC592F"/>
    <w:rsid w:val="00FC5B49"/>
    <w:rsid w:val="00FC5B6A"/>
    <w:rsid w:val="00FC5DEA"/>
    <w:rsid w:val="00FC5E1C"/>
    <w:rsid w:val="00FC6A13"/>
    <w:rsid w:val="00FC6B24"/>
    <w:rsid w:val="00FC76B6"/>
    <w:rsid w:val="00FD095B"/>
    <w:rsid w:val="00FD15F2"/>
    <w:rsid w:val="00FD20C4"/>
    <w:rsid w:val="00FD22FC"/>
    <w:rsid w:val="00FD3033"/>
    <w:rsid w:val="00FD306D"/>
    <w:rsid w:val="00FD3586"/>
    <w:rsid w:val="00FD3A04"/>
    <w:rsid w:val="00FD47D7"/>
    <w:rsid w:val="00FD641B"/>
    <w:rsid w:val="00FD6F6B"/>
    <w:rsid w:val="00FD7AD3"/>
    <w:rsid w:val="00FD7F12"/>
    <w:rsid w:val="00FE04F3"/>
    <w:rsid w:val="00FE0A10"/>
    <w:rsid w:val="00FE0B51"/>
    <w:rsid w:val="00FE0C4B"/>
    <w:rsid w:val="00FE1810"/>
    <w:rsid w:val="00FE1D08"/>
    <w:rsid w:val="00FE1D4E"/>
    <w:rsid w:val="00FE34DA"/>
    <w:rsid w:val="00FE3961"/>
    <w:rsid w:val="00FE4141"/>
    <w:rsid w:val="00FE4405"/>
    <w:rsid w:val="00FE4806"/>
    <w:rsid w:val="00FE56CC"/>
    <w:rsid w:val="00FE57DA"/>
    <w:rsid w:val="00FE5ED1"/>
    <w:rsid w:val="00FE5FA1"/>
    <w:rsid w:val="00FE6741"/>
    <w:rsid w:val="00FE7B28"/>
    <w:rsid w:val="00FF0DA3"/>
    <w:rsid w:val="00FF3711"/>
    <w:rsid w:val="00FF3A9A"/>
    <w:rsid w:val="00FF4097"/>
    <w:rsid w:val="00FF55D3"/>
    <w:rsid w:val="00FF5603"/>
    <w:rsid w:val="00FF6405"/>
    <w:rsid w:val="00FF70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FB"/>
    <w:pPr>
      <w:widowControl w:val="0"/>
    </w:pPr>
  </w:style>
  <w:style w:type="paragraph" w:styleId="3">
    <w:name w:val="heading 3"/>
    <w:basedOn w:val="a"/>
    <w:link w:val="30"/>
    <w:uiPriority w:val="99"/>
    <w:qFormat/>
    <w:locked/>
    <w:rsid w:val="001E623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1E6231"/>
    <w:rPr>
      <w:rFonts w:ascii="新細明體" w:eastAsia="新細明體" w:hAnsi="新細明體" w:cs="新細明體"/>
      <w:b/>
      <w:bCs/>
      <w:sz w:val="27"/>
      <w:szCs w:val="27"/>
      <w:lang w:val="en-US" w:eastAsia="zh-TW" w:bidi="ar-SA"/>
    </w:rPr>
  </w:style>
  <w:style w:type="paragraph" w:styleId="a3">
    <w:name w:val="endnote text"/>
    <w:basedOn w:val="a"/>
    <w:link w:val="a4"/>
    <w:uiPriority w:val="99"/>
    <w:semiHidden/>
    <w:rsid w:val="001D06CF"/>
    <w:pPr>
      <w:snapToGrid w:val="0"/>
    </w:pPr>
  </w:style>
  <w:style w:type="character" w:customStyle="1" w:styleId="a4">
    <w:name w:val="章節附註文字 字元"/>
    <w:basedOn w:val="a0"/>
    <w:link w:val="a3"/>
    <w:uiPriority w:val="99"/>
    <w:semiHidden/>
    <w:locked/>
    <w:rsid w:val="001D06CF"/>
    <w:rPr>
      <w:rFonts w:cs="Times New Roman"/>
    </w:rPr>
  </w:style>
  <w:style w:type="character" w:styleId="a5">
    <w:name w:val="endnote reference"/>
    <w:basedOn w:val="a0"/>
    <w:uiPriority w:val="99"/>
    <w:semiHidden/>
    <w:rsid w:val="001D06CF"/>
    <w:rPr>
      <w:rFonts w:cs="Times New Roman"/>
      <w:vertAlign w:val="superscript"/>
    </w:rPr>
  </w:style>
  <w:style w:type="paragraph" w:styleId="a6">
    <w:name w:val="footnote text"/>
    <w:basedOn w:val="a"/>
    <w:link w:val="a7"/>
    <w:uiPriority w:val="99"/>
    <w:rsid w:val="001D06CF"/>
    <w:pPr>
      <w:snapToGrid w:val="0"/>
    </w:pPr>
    <w:rPr>
      <w:sz w:val="20"/>
      <w:szCs w:val="20"/>
    </w:rPr>
  </w:style>
  <w:style w:type="character" w:customStyle="1" w:styleId="a7">
    <w:name w:val="註腳文字 字元"/>
    <w:basedOn w:val="a0"/>
    <w:link w:val="a6"/>
    <w:uiPriority w:val="99"/>
    <w:locked/>
    <w:rsid w:val="001D06CF"/>
    <w:rPr>
      <w:rFonts w:cs="Times New Roman"/>
      <w:sz w:val="20"/>
      <w:szCs w:val="20"/>
    </w:rPr>
  </w:style>
  <w:style w:type="character" w:styleId="a8">
    <w:name w:val="footnote reference"/>
    <w:basedOn w:val="a0"/>
    <w:uiPriority w:val="99"/>
    <w:semiHidden/>
    <w:rsid w:val="001D06CF"/>
    <w:rPr>
      <w:rFonts w:cs="Times New Roman"/>
      <w:vertAlign w:val="superscript"/>
    </w:rPr>
  </w:style>
  <w:style w:type="paragraph" w:styleId="a9">
    <w:name w:val="List Paragraph"/>
    <w:basedOn w:val="a"/>
    <w:uiPriority w:val="99"/>
    <w:qFormat/>
    <w:rsid w:val="006418C2"/>
    <w:pPr>
      <w:ind w:leftChars="200" w:left="480"/>
    </w:pPr>
  </w:style>
  <w:style w:type="paragraph" w:styleId="aa">
    <w:name w:val="header"/>
    <w:basedOn w:val="a"/>
    <w:link w:val="ab"/>
    <w:uiPriority w:val="99"/>
    <w:semiHidden/>
    <w:rsid w:val="0079476E"/>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79476E"/>
    <w:rPr>
      <w:rFonts w:cs="Times New Roman"/>
      <w:sz w:val="20"/>
      <w:szCs w:val="20"/>
    </w:rPr>
  </w:style>
  <w:style w:type="paragraph" w:styleId="ac">
    <w:name w:val="footer"/>
    <w:basedOn w:val="a"/>
    <w:link w:val="ad"/>
    <w:uiPriority w:val="99"/>
    <w:semiHidden/>
    <w:rsid w:val="0079476E"/>
    <w:pPr>
      <w:tabs>
        <w:tab w:val="center" w:pos="4153"/>
        <w:tab w:val="right" w:pos="8306"/>
      </w:tabs>
      <w:snapToGrid w:val="0"/>
    </w:pPr>
    <w:rPr>
      <w:sz w:val="20"/>
      <w:szCs w:val="20"/>
    </w:rPr>
  </w:style>
  <w:style w:type="character" w:customStyle="1" w:styleId="ad">
    <w:name w:val="頁尾 字元"/>
    <w:basedOn w:val="a0"/>
    <w:link w:val="ac"/>
    <w:uiPriority w:val="99"/>
    <w:semiHidden/>
    <w:locked/>
    <w:rsid w:val="0079476E"/>
    <w:rPr>
      <w:rFonts w:cs="Times New Roman"/>
      <w:sz w:val="20"/>
      <w:szCs w:val="20"/>
    </w:rPr>
  </w:style>
  <w:style w:type="character" w:styleId="ae">
    <w:name w:val="annotation reference"/>
    <w:basedOn w:val="a0"/>
    <w:uiPriority w:val="99"/>
    <w:semiHidden/>
    <w:rsid w:val="002C1F29"/>
    <w:rPr>
      <w:rFonts w:cs="Times New Roman"/>
      <w:sz w:val="18"/>
      <w:szCs w:val="18"/>
    </w:rPr>
  </w:style>
  <w:style w:type="paragraph" w:styleId="af">
    <w:name w:val="annotation text"/>
    <w:basedOn w:val="a"/>
    <w:link w:val="af0"/>
    <w:uiPriority w:val="99"/>
    <w:semiHidden/>
    <w:rsid w:val="002C1F29"/>
  </w:style>
  <w:style w:type="character" w:customStyle="1" w:styleId="af0">
    <w:name w:val="註解文字 字元"/>
    <w:basedOn w:val="a0"/>
    <w:link w:val="af"/>
    <w:uiPriority w:val="99"/>
    <w:semiHidden/>
    <w:locked/>
    <w:rsid w:val="00993FB0"/>
    <w:rPr>
      <w:rFonts w:cs="Times New Roman"/>
    </w:rPr>
  </w:style>
  <w:style w:type="paragraph" w:styleId="af1">
    <w:name w:val="annotation subject"/>
    <w:basedOn w:val="af"/>
    <w:next w:val="af"/>
    <w:link w:val="af2"/>
    <w:uiPriority w:val="99"/>
    <w:semiHidden/>
    <w:rsid w:val="002C1F29"/>
    <w:rPr>
      <w:b/>
      <w:bCs/>
    </w:rPr>
  </w:style>
  <w:style w:type="character" w:customStyle="1" w:styleId="af2">
    <w:name w:val="註解主旨 字元"/>
    <w:basedOn w:val="af0"/>
    <w:link w:val="af1"/>
    <w:uiPriority w:val="99"/>
    <w:semiHidden/>
    <w:locked/>
    <w:rsid w:val="00993FB0"/>
    <w:rPr>
      <w:b/>
      <w:bCs/>
    </w:rPr>
  </w:style>
  <w:style w:type="paragraph" w:styleId="af3">
    <w:name w:val="Balloon Text"/>
    <w:basedOn w:val="a"/>
    <w:link w:val="af4"/>
    <w:uiPriority w:val="99"/>
    <w:semiHidden/>
    <w:rsid w:val="002C1F29"/>
    <w:rPr>
      <w:rFonts w:ascii="Arial" w:hAnsi="Arial"/>
      <w:sz w:val="18"/>
      <w:szCs w:val="18"/>
    </w:rPr>
  </w:style>
  <w:style w:type="character" w:customStyle="1" w:styleId="af4">
    <w:name w:val="註解方塊文字 字元"/>
    <w:basedOn w:val="a0"/>
    <w:link w:val="af3"/>
    <w:uiPriority w:val="99"/>
    <w:semiHidden/>
    <w:locked/>
    <w:rsid w:val="00993FB0"/>
    <w:rPr>
      <w:rFonts w:ascii="Cambria" w:eastAsia="新細明體" w:hAnsi="Cambria" w:cs="Times New Roman"/>
      <w:sz w:val="2"/>
    </w:rPr>
  </w:style>
  <w:style w:type="character" w:styleId="af5">
    <w:name w:val="Emphasis"/>
    <w:basedOn w:val="a0"/>
    <w:uiPriority w:val="99"/>
    <w:qFormat/>
    <w:locked/>
    <w:rsid w:val="00CE0999"/>
    <w:rPr>
      <w:rFonts w:cs="Times New Roman"/>
      <w:color w:val="DD4B39"/>
    </w:rPr>
  </w:style>
  <w:style w:type="character" w:customStyle="1" w:styleId="st1">
    <w:name w:val="st1"/>
    <w:basedOn w:val="a0"/>
    <w:uiPriority w:val="99"/>
    <w:rsid w:val="00CE0999"/>
    <w:rPr>
      <w:rFonts w:cs="Times New Roman"/>
    </w:rPr>
  </w:style>
  <w:style w:type="paragraph" w:styleId="Web">
    <w:name w:val="Normal (Web)"/>
    <w:basedOn w:val="a"/>
    <w:uiPriority w:val="99"/>
    <w:rsid w:val="0054668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2.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4372</Words>
  <Characters>24922</Characters>
  <Application>Microsoft Office Word</Application>
  <DocSecurity>0</DocSecurity>
  <Lines>207</Lines>
  <Paragraphs>58</Paragraphs>
  <ScaleCrop>false</ScaleCrop>
  <Company>TKU</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Liberalization and Growth:</dc:title>
  <dc:subject/>
  <dc:creator>TkuStaff</dc:creator>
  <cp:keywords/>
  <dc:description/>
  <cp:lastModifiedBy>TkuStaff</cp:lastModifiedBy>
  <cp:revision>2</cp:revision>
  <cp:lastPrinted>2013-04-25T03:04:00Z</cp:lastPrinted>
  <dcterms:created xsi:type="dcterms:W3CDTF">2013-04-25T08:03:00Z</dcterms:created>
  <dcterms:modified xsi:type="dcterms:W3CDTF">2013-04-25T08:03:00Z</dcterms:modified>
</cp:coreProperties>
</file>