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18" w:rsidRPr="00CB1E18" w:rsidRDefault="00CB1E18" w:rsidP="00CB1E18">
      <w:pPr>
        <w:jc w:val="center"/>
        <w:rPr>
          <w:sz w:val="28"/>
          <w:szCs w:val="28"/>
        </w:rPr>
      </w:pPr>
      <w:r w:rsidRPr="00CB1E18">
        <w:rPr>
          <w:rFonts w:hint="eastAsia"/>
          <w:sz w:val="28"/>
          <w:szCs w:val="28"/>
        </w:rPr>
        <w:t>下水道系統流</w:t>
      </w:r>
      <w:proofErr w:type="gramStart"/>
      <w:r w:rsidRPr="00CB1E18">
        <w:rPr>
          <w:rFonts w:hint="eastAsia"/>
          <w:sz w:val="28"/>
          <w:szCs w:val="28"/>
        </w:rPr>
        <w:t>況</w:t>
      </w:r>
      <w:proofErr w:type="gramEnd"/>
      <w:r w:rsidRPr="00CB1E18">
        <w:rPr>
          <w:rFonts w:hint="eastAsia"/>
          <w:sz w:val="28"/>
          <w:szCs w:val="28"/>
        </w:rPr>
        <w:t>之</w:t>
      </w:r>
      <w:bookmarkStart w:id="0" w:name="_GoBack"/>
      <w:bookmarkEnd w:id="0"/>
      <w:r w:rsidRPr="00CB1E18">
        <w:rPr>
          <w:rFonts w:hint="eastAsia"/>
          <w:sz w:val="28"/>
          <w:szCs w:val="28"/>
        </w:rPr>
        <w:t>數值模式</w:t>
      </w:r>
    </w:p>
    <w:p w:rsidR="00372238" w:rsidRPr="00CB1E18" w:rsidRDefault="00CB1E18" w:rsidP="00CB1E18">
      <w:pPr>
        <w:jc w:val="center"/>
        <w:rPr>
          <w:rFonts w:hint="eastAsia"/>
          <w:sz w:val="28"/>
          <w:szCs w:val="28"/>
        </w:rPr>
      </w:pPr>
      <w:r w:rsidRPr="00CB1E18">
        <w:rPr>
          <w:rFonts w:hint="eastAsia"/>
          <w:sz w:val="28"/>
          <w:szCs w:val="28"/>
        </w:rPr>
        <w:t>許中杰</w:t>
      </w:r>
      <w:r w:rsidRPr="00CB1E18">
        <w:rPr>
          <w:rFonts w:hint="eastAsia"/>
          <w:sz w:val="28"/>
          <w:szCs w:val="28"/>
        </w:rPr>
        <w:t xml:space="preserve">; </w:t>
      </w:r>
      <w:r w:rsidRPr="00CB1E18">
        <w:rPr>
          <w:rFonts w:hint="eastAsia"/>
          <w:sz w:val="28"/>
          <w:szCs w:val="28"/>
        </w:rPr>
        <w:t>劉景青</w:t>
      </w:r>
      <w:r w:rsidRPr="00CB1E18">
        <w:rPr>
          <w:rFonts w:hint="eastAsia"/>
          <w:sz w:val="28"/>
          <w:szCs w:val="28"/>
        </w:rPr>
        <w:t xml:space="preserve">; </w:t>
      </w:r>
      <w:r w:rsidRPr="00CB1E18">
        <w:rPr>
          <w:rFonts w:hint="eastAsia"/>
          <w:sz w:val="28"/>
          <w:szCs w:val="28"/>
        </w:rPr>
        <w:t>陳仁穎</w:t>
      </w:r>
    </w:p>
    <w:p w:rsidR="00CB1E18" w:rsidRDefault="00CB1E18">
      <w:pPr>
        <w:rPr>
          <w:rFonts w:hint="eastAsia"/>
        </w:rPr>
      </w:pPr>
    </w:p>
    <w:p w:rsidR="00CB1E18" w:rsidRPr="00CB1E18" w:rsidRDefault="00CB1E18" w:rsidP="00CB1E1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本研究以數值方法模擬都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巿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雨水下水道網 路水理現象,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其水理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包含明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渠流,滿管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壓力流及 暫態流。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明渠流及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滿管壓力流是根據動量及連 續方程式;而暫態流則應用移動界面(Moving interface)的方式模擬。 本模式之動量方程式可選擇動力波或擴散 波方程式,其初始條件可考慮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迴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水效應的標準 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步推法與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不考慮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迴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水效應而以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曼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寧公式計算, 下游邊界可考慮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水位歷線及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抽水站排水流量兩 種情況,至於人孔內部條件則考慮蓄水效應與 無蓄水效應及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自由跌水與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水位連續之流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況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,且 管線斷面形狀可選擇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圓形與箱涵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兩種並可於適 當位置配置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人孔以模擬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都</w:t>
      </w:r>
      <w:proofErr w:type="gramStart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巿</w:t>
      </w:r>
      <w:proofErr w:type="gramEnd"/>
      <w:r w:rsidRPr="00CB1E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雨水下水道網路。</w:t>
      </w:r>
    </w:p>
    <w:p w:rsidR="00CB1E18" w:rsidRPr="00CB1E18" w:rsidRDefault="00CB1E18"/>
    <w:sectPr w:rsidR="00CB1E18" w:rsidRPr="00CB1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5C"/>
    <w:rsid w:val="001B2D5C"/>
    <w:rsid w:val="00372238"/>
    <w:rsid w:val="00C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2014-06-11T01:37:00Z</dcterms:created>
  <dcterms:modified xsi:type="dcterms:W3CDTF">2014-06-11T01:41:00Z</dcterms:modified>
</cp:coreProperties>
</file>