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49" w:rsidRPr="00163F49" w:rsidRDefault="00163F49" w:rsidP="00163F49">
      <w:pPr>
        <w:widowControl/>
        <w:rPr>
          <w:rFonts w:ascii="新細明體" w:eastAsia="新細明體" w:hAnsi="新細明體" w:cs="新細明體"/>
          <w:color w:val="000000"/>
          <w:kern w:val="0"/>
          <w:szCs w:val="24"/>
        </w:rPr>
      </w:pPr>
      <w:r w:rsidRPr="00163F49">
        <w:rPr>
          <w:rFonts w:ascii="新細明體" w:eastAsia="新細明體" w:hAnsi="新細明體" w:cs="新細明體" w:hint="eastAsia"/>
          <w:color w:val="000000"/>
          <w:kern w:val="0"/>
          <w:szCs w:val="24"/>
        </w:rPr>
        <w:t>金屬板材半球</w:t>
      </w:r>
      <w:proofErr w:type="gramStart"/>
      <w:r w:rsidRPr="00163F49">
        <w:rPr>
          <w:rFonts w:ascii="新細明體" w:eastAsia="新細明體" w:hAnsi="新細明體" w:cs="新細明體" w:hint="eastAsia"/>
          <w:color w:val="000000"/>
          <w:kern w:val="0"/>
          <w:szCs w:val="24"/>
        </w:rPr>
        <w:t>型沖頭</w:t>
      </w:r>
      <w:proofErr w:type="gramEnd"/>
      <w:r w:rsidRPr="00163F49">
        <w:rPr>
          <w:rFonts w:ascii="新細明體" w:eastAsia="新細明體" w:hAnsi="新細明體" w:cs="新細明體" w:hint="eastAsia"/>
          <w:color w:val="000000"/>
          <w:kern w:val="0"/>
          <w:szCs w:val="24"/>
        </w:rPr>
        <w:t>之孔</w:t>
      </w:r>
      <w:proofErr w:type="gramStart"/>
      <w:r w:rsidRPr="00163F49">
        <w:rPr>
          <w:rFonts w:ascii="新細明體" w:eastAsia="新細明體" w:hAnsi="新細明體" w:cs="新細明體" w:hint="eastAsia"/>
          <w:color w:val="000000"/>
          <w:kern w:val="0"/>
          <w:szCs w:val="24"/>
        </w:rPr>
        <w:t>凸</w:t>
      </w:r>
      <w:proofErr w:type="gramEnd"/>
      <w:r w:rsidRPr="00163F49">
        <w:rPr>
          <w:rFonts w:ascii="新細明體" w:eastAsia="新細明體" w:hAnsi="新細明體" w:cs="新細明體" w:hint="eastAsia"/>
          <w:color w:val="000000"/>
          <w:kern w:val="0"/>
          <w:szCs w:val="24"/>
        </w:rPr>
        <w:t xml:space="preserve">緣貫穿成形分析 </w:t>
      </w:r>
    </w:p>
    <w:p w:rsidR="00163F49" w:rsidRDefault="00163F49">
      <w:pPr>
        <w:rPr>
          <w:rFonts w:hint="eastAsia"/>
        </w:rPr>
      </w:pPr>
    </w:p>
    <w:p w:rsidR="00C933F4" w:rsidRPr="00C933F4" w:rsidRDefault="00C933F4" w:rsidP="00C933F4">
      <w:pPr>
        <w:widowControl/>
        <w:rPr>
          <w:rFonts w:ascii="新細明體" w:eastAsia="新細明體" w:hAnsi="新細明體" w:cs="新細明體"/>
          <w:color w:val="000000"/>
          <w:kern w:val="0"/>
          <w:szCs w:val="24"/>
        </w:rPr>
      </w:pPr>
      <w:r w:rsidRPr="00C933F4">
        <w:rPr>
          <w:rFonts w:ascii="新細明體" w:eastAsia="新細明體" w:hAnsi="新細明體" w:cs="新細明體" w:hint="eastAsia"/>
          <w:color w:val="000000"/>
          <w:kern w:val="0"/>
          <w:szCs w:val="24"/>
        </w:rPr>
        <w:t xml:space="preserve">A methodology for formulating an </w:t>
      </w:r>
      <w:proofErr w:type="spellStart"/>
      <w:r w:rsidRPr="00C933F4">
        <w:rPr>
          <w:rFonts w:ascii="新細明體" w:eastAsia="新細明體" w:hAnsi="新細明體" w:cs="新細明體" w:hint="eastAsia"/>
          <w:color w:val="000000"/>
          <w:kern w:val="0"/>
          <w:szCs w:val="24"/>
        </w:rPr>
        <w:t>elasto</w:t>
      </w:r>
      <w:proofErr w:type="spellEnd"/>
      <w:r w:rsidRPr="00C933F4">
        <w:rPr>
          <w:rFonts w:ascii="新細明體" w:eastAsia="新細明體" w:hAnsi="新細明體" w:cs="新細明體" w:hint="eastAsia"/>
          <w:color w:val="000000"/>
          <w:kern w:val="0"/>
          <w:szCs w:val="24"/>
        </w:rPr>
        <w:t xml:space="preserve">-plastic finite element model, which is based on </w:t>
      </w:r>
      <w:proofErr w:type="spellStart"/>
      <w:r w:rsidRPr="00C933F4">
        <w:rPr>
          <w:rFonts w:ascii="新細明體" w:eastAsia="新細明體" w:hAnsi="新細明體" w:cs="新細明體" w:hint="eastAsia"/>
          <w:color w:val="000000"/>
          <w:kern w:val="0"/>
          <w:szCs w:val="24"/>
        </w:rPr>
        <w:t>Prandtl-Reuss</w:t>
      </w:r>
      <w:proofErr w:type="spellEnd"/>
      <w:r w:rsidRPr="00C933F4">
        <w:rPr>
          <w:rFonts w:ascii="新細明體" w:eastAsia="新細明體" w:hAnsi="新細明體" w:cs="新細明體" w:hint="eastAsia"/>
          <w:color w:val="000000"/>
          <w:kern w:val="0"/>
          <w:szCs w:val="24"/>
        </w:rPr>
        <w:t xml:space="preserve"> flow rule and Hill's yield criterion respectively, associates with an Updated </w:t>
      </w:r>
      <w:proofErr w:type="spellStart"/>
      <w:r w:rsidRPr="00C933F4">
        <w:rPr>
          <w:rFonts w:ascii="新細明體" w:eastAsia="新細明體" w:hAnsi="新細明體" w:cs="新細明體" w:hint="eastAsia"/>
          <w:color w:val="000000"/>
          <w:kern w:val="0"/>
          <w:szCs w:val="24"/>
        </w:rPr>
        <w:t>Lagrangian</w:t>
      </w:r>
      <w:proofErr w:type="spellEnd"/>
      <w:r w:rsidRPr="00C933F4">
        <w:rPr>
          <w:rFonts w:ascii="新細明體" w:eastAsia="新細明體" w:hAnsi="新細明體" w:cs="新細明體" w:hint="eastAsia"/>
          <w:color w:val="000000"/>
          <w:kern w:val="0"/>
          <w:szCs w:val="24"/>
        </w:rPr>
        <w:t xml:space="preserve"> Formulation. The numerical simulation results include relations hip between punch </w:t>
      </w:r>
      <w:proofErr w:type="gramStart"/>
      <w:r w:rsidRPr="00C933F4">
        <w:rPr>
          <w:rFonts w:ascii="新細明體" w:eastAsia="新細明體" w:hAnsi="新細明體" w:cs="新細明體" w:hint="eastAsia"/>
          <w:color w:val="000000"/>
          <w:kern w:val="0"/>
          <w:szCs w:val="24"/>
        </w:rPr>
        <w:t>load</w:t>
      </w:r>
      <w:proofErr w:type="gramEnd"/>
      <w:r w:rsidRPr="00C933F4">
        <w:rPr>
          <w:rFonts w:ascii="新細明體" w:eastAsia="新細明體" w:hAnsi="新細明體" w:cs="新細明體" w:hint="eastAsia"/>
          <w:color w:val="000000"/>
          <w:kern w:val="0"/>
          <w:szCs w:val="24"/>
        </w:rPr>
        <w:t xml:space="preserve"> and punch displacement, variation of the </w:t>
      </w:r>
      <w:proofErr w:type="spellStart"/>
      <w:r w:rsidRPr="00C933F4">
        <w:rPr>
          <w:rFonts w:ascii="新細明體" w:eastAsia="新細明體" w:hAnsi="新細明體" w:cs="新細明體" w:hint="eastAsia"/>
          <w:color w:val="000000"/>
          <w:kern w:val="0"/>
          <w:szCs w:val="24"/>
        </w:rPr>
        <w:t>workpiece</w:t>
      </w:r>
      <w:proofErr w:type="spellEnd"/>
      <w:r w:rsidRPr="00C933F4">
        <w:rPr>
          <w:rFonts w:ascii="新細明體" w:eastAsia="新細明體" w:hAnsi="新細明體" w:cs="新細明體" w:hint="eastAsia"/>
          <w:color w:val="000000"/>
          <w:kern w:val="0"/>
          <w:szCs w:val="24"/>
        </w:rPr>
        <w:t xml:space="preserve"> thickness, and forming limit. The finite element model is developed to simulate isotropic, normal anisotropic, and anisotropic of hole-flanging penetration process. The accuracy of the finite element program is based on a comparison between the simulation and experiment outcomes. Several simulations are performed on diverse Lankford parameters R0, R45, R90 and distinct punch profile radius. When the orientation of expanded hole circumference to rolling direction is at 90.degree.</w:t>
      </w:r>
      <w:proofErr w:type="gramStart"/>
      <w:r w:rsidRPr="00C933F4">
        <w:rPr>
          <w:rFonts w:ascii="新細明體" w:eastAsia="新細明體" w:hAnsi="新細明體" w:cs="新細明體" w:hint="eastAsia"/>
          <w:color w:val="000000"/>
          <w:kern w:val="0"/>
          <w:szCs w:val="24"/>
        </w:rPr>
        <w:t>,the</w:t>
      </w:r>
      <w:proofErr w:type="gramEnd"/>
      <w:r w:rsidRPr="00C933F4">
        <w:rPr>
          <w:rFonts w:ascii="新細明體" w:eastAsia="新細明體" w:hAnsi="新細明體" w:cs="新細明體" w:hint="eastAsia"/>
          <w:color w:val="000000"/>
          <w:kern w:val="0"/>
          <w:szCs w:val="24"/>
        </w:rPr>
        <w:t xml:space="preserve"> thickness of </w:t>
      </w:r>
      <w:proofErr w:type="spellStart"/>
      <w:r w:rsidRPr="00C933F4">
        <w:rPr>
          <w:rFonts w:ascii="新細明體" w:eastAsia="新細明體" w:hAnsi="新細明體" w:cs="新細明體" w:hint="eastAsia"/>
          <w:color w:val="000000"/>
          <w:kern w:val="0"/>
          <w:szCs w:val="24"/>
        </w:rPr>
        <w:t>workpieces</w:t>
      </w:r>
      <w:proofErr w:type="spellEnd"/>
      <w:r w:rsidRPr="00C933F4">
        <w:rPr>
          <w:rFonts w:ascii="新細明體" w:eastAsia="新細明體" w:hAnsi="新細明體" w:cs="新細明體" w:hint="eastAsia"/>
          <w:color w:val="000000"/>
          <w:kern w:val="0"/>
          <w:szCs w:val="24"/>
        </w:rPr>
        <w:t xml:space="preserve"> is various from three types of analyses. Anisotropic analysis determines the thickest </w:t>
      </w:r>
      <w:proofErr w:type="spellStart"/>
      <w:r w:rsidRPr="00C933F4">
        <w:rPr>
          <w:rFonts w:ascii="新細明體" w:eastAsia="新細明體" w:hAnsi="新細明體" w:cs="新細明體" w:hint="eastAsia"/>
          <w:color w:val="000000"/>
          <w:kern w:val="0"/>
          <w:szCs w:val="24"/>
        </w:rPr>
        <w:t>workpiece</w:t>
      </w:r>
      <w:proofErr w:type="spellEnd"/>
      <w:r w:rsidRPr="00C933F4">
        <w:rPr>
          <w:rFonts w:ascii="新細明體" w:eastAsia="新細明體" w:hAnsi="新細明體" w:cs="新細明體" w:hint="eastAsia"/>
          <w:color w:val="000000"/>
          <w:kern w:val="0"/>
          <w:szCs w:val="24"/>
        </w:rPr>
        <w:t xml:space="preserve"> and isotropic analysis the thinnest. As to penetrated height, at the same orientation, isotropic analysis determines the highest </w:t>
      </w:r>
      <w:proofErr w:type="spellStart"/>
      <w:r w:rsidRPr="00C933F4">
        <w:rPr>
          <w:rFonts w:ascii="新細明體" w:eastAsia="新細明體" w:hAnsi="新細明體" w:cs="新細明體" w:hint="eastAsia"/>
          <w:color w:val="000000"/>
          <w:kern w:val="0"/>
          <w:szCs w:val="24"/>
        </w:rPr>
        <w:t>workpiece</w:t>
      </w:r>
      <w:proofErr w:type="spellEnd"/>
      <w:r w:rsidRPr="00C933F4">
        <w:rPr>
          <w:rFonts w:ascii="新細明體" w:eastAsia="新細明體" w:hAnsi="新細明體" w:cs="新細明體" w:hint="eastAsia"/>
          <w:color w:val="000000"/>
          <w:kern w:val="0"/>
          <w:szCs w:val="24"/>
        </w:rPr>
        <w:t xml:space="preserve"> and anisotropic analysis the lowest. When punch profile radius becomes greater, maximum punch load decreases progressively.</w:t>
      </w:r>
    </w:p>
    <w:p w:rsidR="00163F49" w:rsidRPr="00C933F4" w:rsidRDefault="00163F49" w:rsidP="00C933F4">
      <w:pPr>
        <w:widowControl/>
      </w:pPr>
      <w:bookmarkStart w:id="0" w:name="_GoBack"/>
      <w:bookmarkEnd w:id="0"/>
    </w:p>
    <w:sectPr w:rsidR="00163F49" w:rsidRPr="00C933F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49"/>
    <w:rsid w:val="00163F49"/>
    <w:rsid w:val="002D7C80"/>
    <w:rsid w:val="00C93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26888">
      <w:bodyDiv w:val="1"/>
      <w:marLeft w:val="0"/>
      <w:marRight w:val="0"/>
      <w:marTop w:val="0"/>
      <w:marBottom w:val="0"/>
      <w:divBdr>
        <w:top w:val="none" w:sz="0" w:space="0" w:color="auto"/>
        <w:left w:val="none" w:sz="0" w:space="0" w:color="auto"/>
        <w:bottom w:val="none" w:sz="0" w:space="0" w:color="auto"/>
        <w:right w:val="none" w:sz="0" w:space="0" w:color="auto"/>
      </w:divBdr>
    </w:div>
    <w:div w:id="1593320344">
      <w:bodyDiv w:val="1"/>
      <w:marLeft w:val="0"/>
      <w:marRight w:val="0"/>
      <w:marTop w:val="0"/>
      <w:marBottom w:val="0"/>
      <w:divBdr>
        <w:top w:val="none" w:sz="0" w:space="0" w:color="auto"/>
        <w:left w:val="none" w:sz="0" w:space="0" w:color="auto"/>
        <w:bottom w:val="none" w:sz="0" w:space="0" w:color="auto"/>
        <w:right w:val="none" w:sz="0" w:space="0" w:color="auto"/>
      </w:divBdr>
    </w:div>
    <w:div w:id="18432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2014-05-22T02:21:00Z</dcterms:created>
  <dcterms:modified xsi:type="dcterms:W3CDTF">2014-05-22T02:21:00Z</dcterms:modified>
</cp:coreProperties>
</file>