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6F" w:rsidRPr="008C1C6F" w:rsidRDefault="008C1C6F" w:rsidP="008C1C6F">
      <w:pPr>
        <w:widowControl/>
        <w:rPr>
          <w:rFonts w:ascii="新細明體" w:eastAsia="新細明體" w:hAnsi="新細明體" w:cs="新細明體"/>
          <w:color w:val="16365C"/>
          <w:kern w:val="0"/>
          <w:szCs w:val="24"/>
        </w:rPr>
      </w:pPr>
      <w:r w:rsidRPr="008C1C6F">
        <w:rPr>
          <w:rFonts w:ascii="新細明體" w:eastAsia="新細明體" w:hAnsi="新細明體" w:cs="新細明體" w:hint="eastAsia"/>
          <w:color w:val="16365C"/>
          <w:kern w:val="0"/>
          <w:szCs w:val="24"/>
        </w:rPr>
        <w:t>自由現金流量、成長機會與盈餘管理之關連性</w:t>
      </w:r>
    </w:p>
    <w:p w:rsidR="00FE2D6F" w:rsidRPr="008C1C6F" w:rsidRDefault="00FE2D6F" w:rsidP="00FE2D6F">
      <w:pPr>
        <w:widowControl/>
        <w:rPr>
          <w:rFonts w:ascii="新細明體" w:eastAsia="新細明體" w:hAnsi="新細明體" w:cs="新細明體" w:hint="eastAsia"/>
          <w:color w:val="000000"/>
          <w:kern w:val="0"/>
          <w:szCs w:val="24"/>
        </w:rPr>
      </w:pPr>
      <w:bookmarkStart w:id="0" w:name="_GoBack"/>
      <w:bookmarkEnd w:id="0"/>
    </w:p>
    <w:p w:rsidR="008C1C6F" w:rsidRPr="008C1C6F" w:rsidRDefault="008C1C6F" w:rsidP="008C1C6F">
      <w:pPr>
        <w:widowControl/>
        <w:rPr>
          <w:rFonts w:ascii="新細明體" w:eastAsia="新細明體" w:hAnsi="新細明體" w:cs="新細明體"/>
          <w:color w:val="000000"/>
          <w:kern w:val="0"/>
          <w:szCs w:val="24"/>
        </w:rPr>
      </w:pPr>
      <w:r w:rsidRPr="008C1C6F">
        <w:rPr>
          <w:rFonts w:ascii="新細明體" w:eastAsia="新細明體" w:hAnsi="新細明體" w:cs="新細明體" w:hint="eastAsia"/>
          <w:color w:val="000000"/>
          <w:kern w:val="0"/>
          <w:szCs w:val="24"/>
        </w:rPr>
        <w:t>自由現金流量假說指出代理人可能產生過度投資之代理問題，並認為舉債具有抑制此問題之作用。對舉債部分，本研究同時納入債務契約假說加以探討。過去之研究顯示，我國實務上代理問題引發盈餘管理行為的現象普遍存在，然鮮少研究自由現金流量假說與盈餘管理之關連性。因此，本研究將基於自由現金流量及債務契約兩種假說，檢視這兩</w:t>
      </w:r>
      <w:proofErr w:type="gramStart"/>
      <w:r w:rsidRPr="008C1C6F">
        <w:rPr>
          <w:rFonts w:ascii="新細明體" w:eastAsia="新細明體" w:hAnsi="新細明體" w:cs="新細明體" w:hint="eastAsia"/>
          <w:color w:val="000000"/>
          <w:kern w:val="0"/>
          <w:szCs w:val="24"/>
        </w:rPr>
        <w:t>個</w:t>
      </w:r>
      <w:proofErr w:type="gramEnd"/>
      <w:r w:rsidRPr="008C1C6F">
        <w:rPr>
          <w:rFonts w:ascii="新細明體" w:eastAsia="新細明體" w:hAnsi="新細明體" w:cs="新細明體" w:hint="eastAsia"/>
          <w:color w:val="000000"/>
          <w:kern w:val="0"/>
          <w:szCs w:val="24"/>
        </w:rPr>
        <w:t>假說與裁決性應計項目之關連性。本研究將自由現金流量與成長機會以中位數各劃分兩群，交叉相乘下構成四種情境，以探討處於不同情境下公司經理人盈餘管理之現象，並探究舉債程度對經理人盈餘管理行為之影響。實證結果顯示，整體而言自由現金流量與成長機會兩變數對於經理人盈餘管理行為具顯著關係。而在情境二（即自由現金流量大且低成長機會），經理人為維護自身利益確實會使用裁決性應計項目操弄盈餘，其裁決性應計項目使用之程度大於其他三種情境，且顯示舉債</w:t>
      </w:r>
      <w:proofErr w:type="gramStart"/>
      <w:r w:rsidRPr="008C1C6F">
        <w:rPr>
          <w:rFonts w:ascii="新細明體" w:eastAsia="新細明體" w:hAnsi="新細明體" w:cs="新細明體" w:hint="eastAsia"/>
          <w:color w:val="000000"/>
          <w:kern w:val="0"/>
          <w:szCs w:val="24"/>
        </w:rPr>
        <w:t>具有抑減經理</w:t>
      </w:r>
      <w:proofErr w:type="gramEnd"/>
      <w:r w:rsidRPr="008C1C6F">
        <w:rPr>
          <w:rFonts w:ascii="新細明體" w:eastAsia="新細明體" w:hAnsi="新細明體" w:cs="新細明體" w:hint="eastAsia"/>
          <w:color w:val="000000"/>
          <w:kern w:val="0"/>
          <w:szCs w:val="24"/>
        </w:rPr>
        <w:t>人操弄盈餘之效果，該結果表示接受了自由現金流量假說。對於其餘三種情境，普遍存在盈餘管理行為，此時舉債程度提升並未</w:t>
      </w:r>
      <w:proofErr w:type="gramStart"/>
      <w:r w:rsidRPr="008C1C6F">
        <w:rPr>
          <w:rFonts w:ascii="新細明體" w:eastAsia="新細明體" w:hAnsi="新細明體" w:cs="新細明體" w:hint="eastAsia"/>
          <w:color w:val="000000"/>
          <w:kern w:val="0"/>
          <w:szCs w:val="24"/>
        </w:rPr>
        <w:t>有抑減經理</w:t>
      </w:r>
      <w:proofErr w:type="gramEnd"/>
      <w:r w:rsidRPr="008C1C6F">
        <w:rPr>
          <w:rFonts w:ascii="新細明體" w:eastAsia="新細明體" w:hAnsi="新細明體" w:cs="新細明體" w:hint="eastAsia"/>
          <w:color w:val="000000"/>
          <w:kern w:val="0"/>
          <w:szCs w:val="24"/>
        </w:rPr>
        <w:t>人操弄盈餘之效果，該結果表示接受了債務契約假說。本研究之主要意義，係劃分四種情境後，有助於了解上述兩種假說成立的前提背景。</w:t>
      </w:r>
    </w:p>
    <w:p w:rsidR="00823645" w:rsidRPr="008C1C6F" w:rsidRDefault="00823645" w:rsidP="008C1C6F">
      <w:pPr>
        <w:widowControl/>
      </w:pPr>
    </w:p>
    <w:sectPr w:rsidR="00823645" w:rsidRPr="008C1C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110A23"/>
    <w:rsid w:val="00436F59"/>
    <w:rsid w:val="004D35B9"/>
    <w:rsid w:val="0065070B"/>
    <w:rsid w:val="00685637"/>
    <w:rsid w:val="007634FA"/>
    <w:rsid w:val="00777F6E"/>
    <w:rsid w:val="00786BE1"/>
    <w:rsid w:val="00823645"/>
    <w:rsid w:val="00863EE4"/>
    <w:rsid w:val="008C1C6F"/>
    <w:rsid w:val="009315C2"/>
    <w:rsid w:val="00934168"/>
    <w:rsid w:val="00985DBE"/>
    <w:rsid w:val="00AE65CC"/>
    <w:rsid w:val="00B054E2"/>
    <w:rsid w:val="00B17405"/>
    <w:rsid w:val="00B8630D"/>
    <w:rsid w:val="00C10565"/>
    <w:rsid w:val="00C944D7"/>
    <w:rsid w:val="00D325B9"/>
    <w:rsid w:val="00D33587"/>
    <w:rsid w:val="00EB7AD0"/>
    <w:rsid w:val="00EF78AF"/>
    <w:rsid w:val="00F608B1"/>
    <w:rsid w:val="00FE2D6F"/>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2014-05-26T03:07:00Z</dcterms:created>
  <dcterms:modified xsi:type="dcterms:W3CDTF">2014-05-26T03:07:00Z</dcterms:modified>
</cp:coreProperties>
</file>